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2357"/>
        <w:gridCol w:w="3127"/>
      </w:tblGrid>
      <w:tr w:rsidR="00D6026E" w:rsidRPr="00D6026E" w14:paraId="7FBC2946" w14:textId="77777777" w:rsidTr="00924AAF">
        <w:trPr>
          <w:jc w:val="center"/>
        </w:trPr>
        <w:tc>
          <w:tcPr>
            <w:tcW w:w="3116" w:type="dxa"/>
            <w:vAlign w:val="center"/>
          </w:tcPr>
          <w:p w14:paraId="31162F91" w14:textId="77777777" w:rsidR="005C4ACE" w:rsidRPr="00D6026E" w:rsidRDefault="005C4ACE" w:rsidP="00924AAF">
            <w:pPr>
              <w:jc w:val="center"/>
              <w:rPr>
                <w:rFonts w:asciiTheme="majorBidi" w:hAnsiTheme="majorBidi" w:cstheme="majorBidi"/>
              </w:rPr>
            </w:pPr>
            <w:r w:rsidRPr="00D6026E">
              <w:rPr>
                <w:rFonts w:asciiTheme="majorBidi" w:hAnsiTheme="majorBidi" w:cstheme="majorBidi"/>
                <w:noProof/>
              </w:rPr>
              <w:drawing>
                <wp:inline distT="0" distB="0" distL="0" distR="0" wp14:anchorId="33706BCA" wp14:editId="7AE3EA70">
                  <wp:extent cx="1872601" cy="361315"/>
                  <wp:effectExtent l="0" t="0" r="0" b="635"/>
                  <wp:docPr id="17442850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85004" name="Picture 174428500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70307" cy="380167"/>
                          </a:xfrm>
                          <a:prstGeom prst="rect">
                            <a:avLst/>
                          </a:prstGeom>
                        </pic:spPr>
                      </pic:pic>
                    </a:graphicData>
                  </a:graphic>
                </wp:inline>
              </w:drawing>
            </w:r>
          </w:p>
        </w:tc>
        <w:tc>
          <w:tcPr>
            <w:tcW w:w="3117" w:type="dxa"/>
            <w:vAlign w:val="center"/>
          </w:tcPr>
          <w:p w14:paraId="3B2BA232" w14:textId="77777777" w:rsidR="005C4ACE" w:rsidRPr="00D6026E" w:rsidRDefault="005C4ACE" w:rsidP="00924AAF">
            <w:pPr>
              <w:jc w:val="center"/>
              <w:rPr>
                <w:rFonts w:asciiTheme="majorBidi" w:hAnsiTheme="majorBidi" w:cstheme="majorBidi"/>
              </w:rPr>
            </w:pPr>
            <w:r w:rsidRPr="00D6026E">
              <w:rPr>
                <w:rFonts w:asciiTheme="majorBidi" w:hAnsiTheme="majorBidi" w:cstheme="majorBidi"/>
                <w:noProof/>
              </w:rPr>
              <w:drawing>
                <wp:inline distT="0" distB="0" distL="0" distR="0" wp14:anchorId="14A5C486" wp14:editId="367109A5">
                  <wp:extent cx="990600" cy="906133"/>
                  <wp:effectExtent l="0" t="0" r="0" b="8890"/>
                  <wp:docPr id="8902316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31664" name="Picture 890231664"/>
                          <pic:cNvPicPr/>
                        </pic:nvPicPr>
                        <pic:blipFill>
                          <a:blip r:embed="rId7">
                            <a:extLst>
                              <a:ext uri="{28A0092B-C50C-407E-A947-70E740481C1C}">
                                <a14:useLocalDpi xmlns:a14="http://schemas.microsoft.com/office/drawing/2010/main" val="0"/>
                              </a:ext>
                            </a:extLst>
                          </a:blip>
                          <a:stretch>
                            <a:fillRect/>
                          </a:stretch>
                        </pic:blipFill>
                        <pic:spPr>
                          <a:xfrm>
                            <a:off x="0" y="0"/>
                            <a:ext cx="997922" cy="912831"/>
                          </a:xfrm>
                          <a:prstGeom prst="rect">
                            <a:avLst/>
                          </a:prstGeom>
                        </pic:spPr>
                      </pic:pic>
                    </a:graphicData>
                  </a:graphic>
                </wp:inline>
              </w:drawing>
            </w:r>
          </w:p>
        </w:tc>
        <w:tc>
          <w:tcPr>
            <w:tcW w:w="3117" w:type="dxa"/>
            <w:vAlign w:val="center"/>
          </w:tcPr>
          <w:p w14:paraId="13FA2DCF" w14:textId="77777777" w:rsidR="005C4ACE" w:rsidRPr="00D6026E" w:rsidRDefault="005C4ACE" w:rsidP="00924AAF">
            <w:pPr>
              <w:jc w:val="center"/>
              <w:rPr>
                <w:rFonts w:asciiTheme="majorBidi" w:hAnsiTheme="majorBidi" w:cstheme="majorBidi"/>
              </w:rPr>
            </w:pPr>
            <w:r w:rsidRPr="00D6026E">
              <w:rPr>
                <w:rFonts w:asciiTheme="majorBidi" w:hAnsiTheme="majorBidi" w:cstheme="majorBidi"/>
                <w:noProof/>
              </w:rPr>
              <w:drawing>
                <wp:inline distT="0" distB="0" distL="0" distR="0" wp14:anchorId="298BC4ED" wp14:editId="720E8499">
                  <wp:extent cx="810479" cy="805847"/>
                  <wp:effectExtent l="0" t="0" r="8890" b="0"/>
                  <wp:docPr id="17422909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290970" name="Picture 1742290970"/>
                          <pic:cNvPicPr/>
                        </pic:nvPicPr>
                        <pic:blipFill>
                          <a:blip r:embed="rId8">
                            <a:extLst>
                              <a:ext uri="{28A0092B-C50C-407E-A947-70E740481C1C}">
                                <a14:useLocalDpi xmlns:a14="http://schemas.microsoft.com/office/drawing/2010/main" val="0"/>
                              </a:ext>
                            </a:extLst>
                          </a:blip>
                          <a:stretch>
                            <a:fillRect/>
                          </a:stretch>
                        </pic:blipFill>
                        <pic:spPr>
                          <a:xfrm>
                            <a:off x="0" y="0"/>
                            <a:ext cx="822901" cy="818198"/>
                          </a:xfrm>
                          <a:prstGeom prst="rect">
                            <a:avLst/>
                          </a:prstGeom>
                        </pic:spPr>
                      </pic:pic>
                    </a:graphicData>
                  </a:graphic>
                </wp:inline>
              </w:drawing>
            </w:r>
          </w:p>
        </w:tc>
      </w:tr>
      <w:tr w:rsidR="005C4ACE" w:rsidRPr="00D6026E" w14:paraId="6E4DA2EE" w14:textId="77777777" w:rsidTr="00924AAF">
        <w:trPr>
          <w:jc w:val="center"/>
        </w:trPr>
        <w:tc>
          <w:tcPr>
            <w:tcW w:w="3116" w:type="dxa"/>
            <w:vAlign w:val="center"/>
          </w:tcPr>
          <w:p w14:paraId="708862C7" w14:textId="77777777" w:rsidR="005C4ACE" w:rsidRPr="00D6026E" w:rsidRDefault="005C4ACE" w:rsidP="00924AAF">
            <w:pPr>
              <w:jc w:val="center"/>
              <w:rPr>
                <w:rFonts w:asciiTheme="majorBidi" w:hAnsiTheme="majorBidi" w:cstheme="majorBidi"/>
              </w:rPr>
            </w:pPr>
            <w:r w:rsidRPr="00D6026E">
              <w:rPr>
                <w:rFonts w:asciiTheme="majorBidi" w:hAnsiTheme="majorBidi" w:cstheme="majorBidi"/>
                <w:noProof/>
              </w:rPr>
              <w:drawing>
                <wp:inline distT="0" distB="0" distL="0" distR="0" wp14:anchorId="3201CCE1" wp14:editId="0A1DB1C7">
                  <wp:extent cx="781050" cy="859155"/>
                  <wp:effectExtent l="0" t="0" r="0" b="0"/>
                  <wp:docPr id="20802703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70311" name="Picture 2080270311"/>
                          <pic:cNvPicPr/>
                        </pic:nvPicPr>
                        <pic:blipFill>
                          <a:blip r:embed="rId9">
                            <a:extLst>
                              <a:ext uri="{28A0092B-C50C-407E-A947-70E740481C1C}">
                                <a14:useLocalDpi xmlns:a14="http://schemas.microsoft.com/office/drawing/2010/main" val="0"/>
                              </a:ext>
                            </a:extLst>
                          </a:blip>
                          <a:stretch>
                            <a:fillRect/>
                          </a:stretch>
                        </pic:blipFill>
                        <pic:spPr>
                          <a:xfrm>
                            <a:off x="0" y="0"/>
                            <a:ext cx="781095" cy="859205"/>
                          </a:xfrm>
                          <a:prstGeom prst="rect">
                            <a:avLst/>
                          </a:prstGeom>
                        </pic:spPr>
                      </pic:pic>
                    </a:graphicData>
                  </a:graphic>
                </wp:inline>
              </w:drawing>
            </w:r>
          </w:p>
        </w:tc>
        <w:tc>
          <w:tcPr>
            <w:tcW w:w="3117" w:type="dxa"/>
            <w:vAlign w:val="center"/>
          </w:tcPr>
          <w:p w14:paraId="3B427257" w14:textId="77777777" w:rsidR="005C4ACE" w:rsidRPr="00D6026E" w:rsidRDefault="005C4ACE" w:rsidP="00924AAF">
            <w:pPr>
              <w:jc w:val="center"/>
              <w:rPr>
                <w:rFonts w:asciiTheme="majorBidi" w:hAnsiTheme="majorBidi" w:cstheme="majorBidi"/>
              </w:rPr>
            </w:pPr>
            <w:r w:rsidRPr="00D6026E">
              <w:rPr>
                <w:rFonts w:asciiTheme="majorBidi" w:hAnsiTheme="majorBidi" w:cstheme="majorBidi"/>
                <w:noProof/>
              </w:rPr>
              <w:drawing>
                <wp:inline distT="0" distB="0" distL="0" distR="0" wp14:anchorId="3039D132" wp14:editId="351B43F5">
                  <wp:extent cx="1429512" cy="444500"/>
                  <wp:effectExtent l="0" t="0" r="0" b="0"/>
                  <wp:docPr id="564997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9704" name="Picture 564997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3017" cy="448699"/>
                          </a:xfrm>
                          <a:prstGeom prst="rect">
                            <a:avLst/>
                          </a:prstGeom>
                        </pic:spPr>
                      </pic:pic>
                    </a:graphicData>
                  </a:graphic>
                </wp:inline>
              </w:drawing>
            </w:r>
          </w:p>
        </w:tc>
        <w:tc>
          <w:tcPr>
            <w:tcW w:w="3117" w:type="dxa"/>
            <w:vAlign w:val="center"/>
          </w:tcPr>
          <w:p w14:paraId="7F294BCB" w14:textId="77777777" w:rsidR="005C4ACE" w:rsidRPr="00D6026E" w:rsidRDefault="005C4ACE" w:rsidP="00924AAF">
            <w:pPr>
              <w:jc w:val="center"/>
              <w:rPr>
                <w:rFonts w:asciiTheme="majorBidi" w:hAnsiTheme="majorBidi" w:cstheme="majorBidi"/>
              </w:rPr>
            </w:pPr>
            <w:r w:rsidRPr="00D6026E">
              <w:rPr>
                <w:rFonts w:asciiTheme="majorBidi" w:hAnsiTheme="majorBidi" w:cstheme="majorBidi"/>
                <w:noProof/>
              </w:rPr>
              <w:drawing>
                <wp:inline distT="0" distB="0" distL="0" distR="0" wp14:anchorId="720ACAD8" wp14:editId="2314AD31">
                  <wp:extent cx="1938129" cy="685800"/>
                  <wp:effectExtent l="0" t="0" r="5080" b="0"/>
                  <wp:docPr id="10624506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50644" name="Picture 1062450644"/>
                          <pic:cNvPicPr/>
                        </pic:nvPicPr>
                        <pic:blipFill>
                          <a:blip r:embed="rId11">
                            <a:extLst>
                              <a:ext uri="{28A0092B-C50C-407E-A947-70E740481C1C}">
                                <a14:useLocalDpi xmlns:a14="http://schemas.microsoft.com/office/drawing/2010/main" val="0"/>
                              </a:ext>
                            </a:extLst>
                          </a:blip>
                          <a:stretch>
                            <a:fillRect/>
                          </a:stretch>
                        </pic:blipFill>
                        <pic:spPr>
                          <a:xfrm>
                            <a:off x="0" y="0"/>
                            <a:ext cx="1940768" cy="686734"/>
                          </a:xfrm>
                          <a:prstGeom prst="rect">
                            <a:avLst/>
                          </a:prstGeom>
                        </pic:spPr>
                      </pic:pic>
                    </a:graphicData>
                  </a:graphic>
                </wp:inline>
              </w:drawing>
            </w:r>
          </w:p>
        </w:tc>
      </w:tr>
    </w:tbl>
    <w:p w14:paraId="7D1CE1EB" w14:textId="77777777" w:rsidR="000B2AFD" w:rsidRPr="00D6026E" w:rsidRDefault="000B2AFD" w:rsidP="005C4ACE">
      <w:pPr>
        <w:spacing w:after="0" w:line="240" w:lineRule="auto"/>
        <w:rPr>
          <w:sz w:val="21"/>
          <w:szCs w:val="21"/>
          <w:lang w:eastAsia="ja-JP"/>
        </w:rPr>
      </w:pPr>
    </w:p>
    <w:p w14:paraId="34C48C0E" w14:textId="5514C9EE" w:rsidR="005C4ACE" w:rsidRPr="00D6026E" w:rsidRDefault="003D0C68" w:rsidP="008D0CBA">
      <w:pPr>
        <w:spacing w:after="0" w:line="240" w:lineRule="auto"/>
        <w:jc w:val="center"/>
        <w:rPr>
          <w:rFonts w:ascii="BIZ UDゴシック" w:eastAsia="BIZ UDゴシック" w:hAnsi="BIZ UDゴシック"/>
          <w:b/>
          <w:bCs/>
          <w:lang w:val="en-US" w:eastAsia="ja-JP"/>
        </w:rPr>
      </w:pPr>
      <w:r w:rsidRPr="00D6026E">
        <w:rPr>
          <w:rFonts w:ascii="BIZ UDゴシック" w:eastAsia="BIZ UDゴシック" w:hAnsi="BIZ UDゴシック"/>
          <w:b/>
          <w:bCs/>
          <w:lang w:val="en-US" w:eastAsia="ja-JP"/>
        </w:rPr>
        <w:t>高齢者に関する政府間作業部会</w:t>
      </w:r>
      <w:r w:rsidRPr="00D6026E">
        <w:rPr>
          <w:rFonts w:ascii="BIZ UDゴシック" w:eastAsia="BIZ UDゴシック" w:hAnsi="BIZ UDゴシック" w:hint="eastAsia"/>
          <w:b/>
          <w:bCs/>
          <w:lang w:val="en-US" w:eastAsia="ja-JP"/>
        </w:rPr>
        <w:t>（</w:t>
      </w:r>
      <w:r w:rsidR="005C4ACE" w:rsidRPr="00D6026E">
        <w:rPr>
          <w:rFonts w:ascii="BIZ UDゴシック" w:eastAsia="BIZ UDゴシック" w:hAnsi="BIZ UDゴシック"/>
          <w:b/>
          <w:bCs/>
          <w:lang w:val="en-US" w:eastAsia="ja-JP"/>
        </w:rPr>
        <w:t>人権理事会</w:t>
      </w:r>
      <w:r w:rsidR="008D0CBA" w:rsidRPr="00D6026E">
        <w:rPr>
          <w:rFonts w:ascii="BIZ UDゴシック" w:eastAsia="BIZ UDゴシック" w:hAnsi="BIZ UDゴシック" w:hint="eastAsia"/>
          <w:b/>
          <w:bCs/>
          <w:lang w:val="en-US" w:eastAsia="ja-JP"/>
        </w:rPr>
        <w:t>のもとの</w:t>
      </w:r>
      <w:r w:rsidR="005C4ACE" w:rsidRPr="00D6026E">
        <w:rPr>
          <w:rFonts w:ascii="BIZ UDゴシック" w:eastAsia="BIZ UDゴシック" w:hAnsi="BIZ UDゴシック"/>
          <w:b/>
          <w:bCs/>
          <w:lang w:val="en-US" w:eastAsia="ja-JP"/>
        </w:rPr>
        <w:t>機関</w:t>
      </w:r>
      <w:r w:rsidRPr="00D6026E">
        <w:rPr>
          <w:rFonts w:ascii="BIZ UDゴシック" w:eastAsia="BIZ UDゴシック" w:hAnsi="BIZ UDゴシック" w:hint="eastAsia"/>
          <w:b/>
          <w:bCs/>
          <w:lang w:val="en-US" w:eastAsia="ja-JP"/>
        </w:rPr>
        <w:t>）</w:t>
      </w:r>
      <w:r w:rsidR="005C4ACE" w:rsidRPr="00D6026E">
        <w:rPr>
          <w:rFonts w:ascii="BIZ UDゴシック" w:eastAsia="BIZ UDゴシック" w:hAnsi="BIZ UDゴシック"/>
          <w:b/>
          <w:bCs/>
          <w:lang w:val="en-US" w:eastAsia="ja-JP"/>
        </w:rPr>
        <w:t>への共同提出文書</w:t>
      </w:r>
    </w:p>
    <w:p w14:paraId="1E15033B" w14:textId="77777777" w:rsidR="008D0CBA" w:rsidRPr="00D6026E" w:rsidRDefault="008D0CBA" w:rsidP="008D0CBA">
      <w:pPr>
        <w:spacing w:after="0" w:line="240" w:lineRule="auto"/>
        <w:jc w:val="center"/>
        <w:rPr>
          <w:rFonts w:ascii="BIZ UDゴシック" w:eastAsia="BIZ UDゴシック" w:hAnsi="BIZ UDゴシック"/>
          <w:b/>
          <w:bCs/>
          <w:lang w:val="en-US" w:eastAsia="ja-JP"/>
        </w:rPr>
      </w:pPr>
    </w:p>
    <w:p w14:paraId="5C2A91C4" w14:textId="77777777" w:rsidR="008D0CBA" w:rsidRPr="00D6026E" w:rsidRDefault="005C4ACE" w:rsidP="008D0CBA">
      <w:pPr>
        <w:spacing w:after="0" w:line="240" w:lineRule="auto"/>
        <w:jc w:val="center"/>
        <w:rPr>
          <w:rFonts w:ascii="BIZ UDゴシック" w:eastAsia="BIZ UDゴシック" w:hAnsi="BIZ UDゴシック"/>
          <w:b/>
          <w:bCs/>
          <w:lang w:val="en-US" w:eastAsia="ja-JP"/>
        </w:rPr>
      </w:pPr>
      <w:r w:rsidRPr="00D6026E">
        <w:rPr>
          <w:rFonts w:ascii="BIZ UDゴシック" w:eastAsia="BIZ UDゴシック" w:hAnsi="BIZ UDゴシック"/>
          <w:b/>
          <w:bCs/>
          <w:lang w:val="en-US" w:eastAsia="ja-JP"/>
        </w:rPr>
        <w:t>高齢者の人権に関する法的拘束力のある文書</w:t>
      </w:r>
      <w:r w:rsidR="008D0CBA" w:rsidRPr="00D6026E">
        <w:rPr>
          <w:rFonts w:ascii="BIZ UDゴシック" w:eastAsia="BIZ UDゴシック" w:hAnsi="BIZ UDゴシック" w:hint="eastAsia"/>
          <w:b/>
          <w:bCs/>
          <w:lang w:val="en-US" w:eastAsia="ja-JP"/>
        </w:rPr>
        <w:t>の</w:t>
      </w:r>
    </w:p>
    <w:p w14:paraId="02F8E7F4" w14:textId="520A8BA6" w:rsidR="005C4ACE" w:rsidRPr="00D6026E" w:rsidRDefault="005C4ACE" w:rsidP="008D0CBA">
      <w:pPr>
        <w:spacing w:after="0" w:line="240" w:lineRule="auto"/>
        <w:jc w:val="center"/>
        <w:rPr>
          <w:rFonts w:ascii="BIZ UDゴシック" w:eastAsia="BIZ UDゴシック" w:hAnsi="BIZ UDゴシック"/>
          <w:b/>
          <w:bCs/>
          <w:lang w:val="en-US" w:eastAsia="ja-JP"/>
        </w:rPr>
      </w:pPr>
      <w:r w:rsidRPr="00D6026E">
        <w:rPr>
          <w:rFonts w:ascii="BIZ UDゴシック" w:eastAsia="BIZ UDゴシック" w:hAnsi="BIZ UDゴシック"/>
          <w:b/>
          <w:bCs/>
          <w:lang w:val="en-US" w:eastAsia="ja-JP"/>
        </w:rPr>
        <w:t>一般的な枠組み、構成、および指針</w:t>
      </w:r>
      <w:r w:rsidR="008D0CBA" w:rsidRPr="00D6026E">
        <w:rPr>
          <w:rFonts w:ascii="BIZ UDゴシック" w:eastAsia="BIZ UDゴシック" w:hAnsi="BIZ UDゴシック" w:hint="eastAsia"/>
          <w:b/>
          <w:bCs/>
          <w:lang w:val="en-US" w:eastAsia="ja-JP"/>
        </w:rPr>
        <w:t>となる</w:t>
      </w:r>
      <w:r w:rsidRPr="00D6026E">
        <w:rPr>
          <w:rFonts w:ascii="BIZ UDゴシック" w:eastAsia="BIZ UDゴシック" w:hAnsi="BIZ UDゴシック"/>
          <w:b/>
          <w:bCs/>
          <w:lang w:val="en-US" w:eastAsia="ja-JP"/>
        </w:rPr>
        <w:t>原則</w:t>
      </w:r>
    </w:p>
    <w:p w14:paraId="4F526937" w14:textId="6DFD328F" w:rsidR="00C9590D" w:rsidRPr="00D6026E" w:rsidRDefault="005C4ACE" w:rsidP="00C9590D">
      <w:pPr>
        <w:spacing w:after="0" w:line="240" w:lineRule="auto"/>
        <w:jc w:val="right"/>
        <w:rPr>
          <w:sz w:val="21"/>
          <w:szCs w:val="21"/>
          <w:lang w:val="en-US" w:eastAsia="ja-JP"/>
        </w:rPr>
      </w:pPr>
      <w:r w:rsidRPr="00D6026E">
        <w:rPr>
          <w:sz w:val="21"/>
          <w:szCs w:val="21"/>
          <w:lang w:val="en-US" w:eastAsia="ja-JP"/>
        </w:rPr>
        <w:t>2026年4月22日</w:t>
      </w:r>
    </w:p>
    <w:p w14:paraId="2AB8C0AD" w14:textId="77777777" w:rsidR="00C9590D" w:rsidRPr="00D6026E" w:rsidRDefault="00C9590D" w:rsidP="00C9590D">
      <w:pPr>
        <w:spacing w:after="0" w:line="240" w:lineRule="auto"/>
        <w:jc w:val="right"/>
        <w:rPr>
          <w:sz w:val="21"/>
          <w:szCs w:val="21"/>
          <w:lang w:val="en-US" w:eastAsia="ja-JP"/>
        </w:rPr>
      </w:pPr>
    </w:p>
    <w:p w14:paraId="383BC151" w14:textId="56D6F444" w:rsidR="00C9590D" w:rsidRPr="00D6026E" w:rsidRDefault="00C9590D" w:rsidP="001B42DE">
      <w:pPr>
        <w:spacing w:after="0" w:line="240" w:lineRule="auto"/>
        <w:jc w:val="center"/>
        <w:rPr>
          <w:sz w:val="21"/>
          <w:szCs w:val="21"/>
          <w:lang w:val="en-US" w:eastAsia="ja-JP"/>
        </w:rPr>
      </w:pPr>
      <w:r w:rsidRPr="00D6026E">
        <w:rPr>
          <w:rFonts w:hint="eastAsia"/>
          <w:sz w:val="21"/>
          <w:szCs w:val="21"/>
          <w:lang w:val="en-US" w:eastAsia="ja-JP"/>
        </w:rPr>
        <w:t>国連経済社会局、国連アフリカ経済委員会、国連ラテンアメリカ・カリブ経済委員会、</w:t>
      </w:r>
    </w:p>
    <w:p w14:paraId="245B4C39" w14:textId="3FD3CAD7" w:rsidR="005C4ACE" w:rsidRPr="00D6026E" w:rsidRDefault="00C9590D" w:rsidP="001B42DE">
      <w:pPr>
        <w:spacing w:after="0" w:line="240" w:lineRule="auto"/>
        <w:jc w:val="center"/>
        <w:rPr>
          <w:sz w:val="21"/>
          <w:szCs w:val="21"/>
          <w:lang w:val="en-US" w:eastAsia="ja-JP"/>
        </w:rPr>
      </w:pPr>
      <w:r w:rsidRPr="00D6026E">
        <w:rPr>
          <w:rFonts w:hint="eastAsia"/>
          <w:sz w:val="21"/>
          <w:szCs w:val="21"/>
          <w:lang w:val="en-US" w:eastAsia="ja-JP"/>
        </w:rPr>
        <w:t>国連アジア太平洋経済社会委員会、国連西アジア経済社会委員会</w:t>
      </w:r>
    </w:p>
    <w:p w14:paraId="6B230156" w14:textId="77777777" w:rsidR="00C9590D" w:rsidRPr="00D6026E" w:rsidRDefault="00C9590D" w:rsidP="005C4ACE">
      <w:pPr>
        <w:spacing w:after="0" w:line="240" w:lineRule="auto"/>
        <w:rPr>
          <w:sz w:val="21"/>
          <w:szCs w:val="21"/>
          <w:lang w:val="en-US" w:eastAsia="ja-JP"/>
        </w:rPr>
      </w:pPr>
    </w:p>
    <w:p w14:paraId="5D87E891" w14:textId="77777777" w:rsidR="005C4ACE" w:rsidRPr="00D6026E" w:rsidRDefault="005C4ACE" w:rsidP="005C4ACE">
      <w:pPr>
        <w:spacing w:after="0" w:line="240" w:lineRule="auto"/>
        <w:rPr>
          <w:rFonts w:ascii="BIZ UDゴシック" w:eastAsia="BIZ UDゴシック" w:hAnsi="BIZ UDゴシック"/>
          <w:b/>
          <w:bCs/>
          <w:lang w:val="en-US" w:eastAsia="ja-JP"/>
        </w:rPr>
      </w:pPr>
      <w:r w:rsidRPr="00D6026E">
        <w:rPr>
          <w:rFonts w:ascii="BIZ UDゴシック" w:eastAsia="BIZ UDゴシック" w:hAnsi="BIZ UDゴシック"/>
          <w:b/>
          <w:bCs/>
          <w:lang w:val="en-US" w:eastAsia="ja-JP"/>
        </w:rPr>
        <w:t>背景</w:t>
      </w:r>
    </w:p>
    <w:p w14:paraId="41F1F5EA" w14:textId="77777777" w:rsidR="005C4ACE" w:rsidRPr="00D6026E" w:rsidRDefault="005C4ACE" w:rsidP="005C4ACE">
      <w:pPr>
        <w:spacing w:after="0" w:line="240" w:lineRule="auto"/>
        <w:rPr>
          <w:sz w:val="21"/>
          <w:szCs w:val="21"/>
          <w:lang w:val="en-US" w:eastAsia="ja-JP"/>
        </w:rPr>
      </w:pPr>
    </w:p>
    <w:p w14:paraId="7A73F9C8" w14:textId="48C7331E" w:rsidR="005C4ACE" w:rsidRPr="00D6026E" w:rsidRDefault="005C4ACE" w:rsidP="005C4ACE">
      <w:pPr>
        <w:spacing w:after="0" w:line="240" w:lineRule="auto"/>
        <w:ind w:firstLineChars="100" w:firstLine="210"/>
        <w:rPr>
          <w:sz w:val="21"/>
          <w:szCs w:val="21"/>
          <w:lang w:val="en-US" w:eastAsia="ja-JP"/>
        </w:rPr>
      </w:pPr>
      <w:r w:rsidRPr="00D6026E">
        <w:rPr>
          <w:rFonts w:hint="eastAsia"/>
          <w:sz w:val="21"/>
          <w:szCs w:val="21"/>
          <w:lang w:val="en-US" w:eastAsia="ja-JP"/>
        </w:rPr>
        <w:t>決議58/13に基づき、人権理事会は作業部会に対し、すべての利害関係者の意見に配慮するよう要請して</w:t>
      </w:r>
      <w:r w:rsidR="007B021E" w:rsidRPr="00D6026E">
        <w:rPr>
          <w:rFonts w:hint="eastAsia"/>
          <w:sz w:val="21"/>
          <w:szCs w:val="21"/>
          <w:lang w:val="en-US" w:eastAsia="ja-JP"/>
        </w:rPr>
        <w:t>お</w:t>
      </w:r>
      <w:r w:rsidRPr="00D6026E">
        <w:rPr>
          <w:sz w:val="21"/>
          <w:szCs w:val="21"/>
          <w:lang w:val="en-US" w:eastAsia="ja-JP"/>
        </w:rPr>
        <w:t>り、各国、関連する国連機関、</w:t>
      </w:r>
      <w:r w:rsidR="007B021E" w:rsidRPr="00D6026E">
        <w:rPr>
          <w:rFonts w:hint="eastAsia"/>
          <w:sz w:val="21"/>
          <w:szCs w:val="21"/>
          <w:lang w:val="en-US" w:eastAsia="ja-JP"/>
        </w:rPr>
        <w:t>専門機関、</w:t>
      </w:r>
      <w:r w:rsidRPr="00D6026E">
        <w:rPr>
          <w:sz w:val="21"/>
          <w:szCs w:val="21"/>
          <w:lang w:val="en-US" w:eastAsia="ja-JP"/>
        </w:rPr>
        <w:t>基金</w:t>
      </w:r>
      <w:r w:rsidR="007B021E" w:rsidRPr="00D6026E">
        <w:rPr>
          <w:rFonts w:hint="eastAsia"/>
          <w:sz w:val="21"/>
          <w:szCs w:val="21"/>
          <w:lang w:val="en-US" w:eastAsia="ja-JP"/>
        </w:rPr>
        <w:t>・計画</w:t>
      </w:r>
      <w:r w:rsidRPr="00D6026E">
        <w:rPr>
          <w:sz w:val="21"/>
          <w:szCs w:val="21"/>
          <w:lang w:val="en-US" w:eastAsia="ja-JP"/>
        </w:rPr>
        <w:t>、国内人権機関、市民社会、特に高齢者およびその代表組織に対し、高齢者の人権に関する国際的な法的拘束力のある文書を策定するという任務を含め、作業部会の活動に積極的かつ建設的に貢献するよう呼びかけている。</w:t>
      </w:r>
    </w:p>
    <w:p w14:paraId="4E425D73" w14:textId="77777777" w:rsidR="005C4ACE" w:rsidRPr="00D6026E" w:rsidRDefault="005C4ACE" w:rsidP="005C4ACE">
      <w:pPr>
        <w:spacing w:after="0" w:line="240" w:lineRule="auto"/>
        <w:rPr>
          <w:sz w:val="21"/>
          <w:szCs w:val="21"/>
          <w:lang w:val="en-US" w:eastAsia="ja-JP"/>
        </w:rPr>
      </w:pPr>
    </w:p>
    <w:p w14:paraId="6307DEEA" w14:textId="31473DF1" w:rsidR="005C4ACE" w:rsidRPr="00D6026E" w:rsidRDefault="005C4ACE" w:rsidP="005C4ACE">
      <w:pPr>
        <w:spacing w:after="0" w:line="240" w:lineRule="auto"/>
        <w:ind w:firstLineChars="100" w:firstLine="210"/>
        <w:rPr>
          <w:sz w:val="21"/>
          <w:szCs w:val="21"/>
          <w:lang w:val="en-US" w:eastAsia="ja-JP"/>
        </w:rPr>
      </w:pPr>
      <w:r w:rsidRPr="00D6026E">
        <w:rPr>
          <w:sz w:val="21"/>
          <w:szCs w:val="21"/>
          <w:lang w:val="en-US" w:eastAsia="ja-JP"/>
        </w:rPr>
        <w:t>人権理事会決議58/13に基づき、2026年2月17日および18日</w:t>
      </w:r>
      <w:r w:rsidR="007B021E" w:rsidRPr="00D6026E">
        <w:rPr>
          <w:rFonts w:hint="eastAsia"/>
          <w:sz w:val="18"/>
          <w:szCs w:val="18"/>
          <w:lang w:val="en-US" w:eastAsia="ja-JP"/>
        </w:rPr>
        <w:t>（訳注　正確には18－19日）</w:t>
      </w:r>
      <w:r w:rsidRPr="00D6026E">
        <w:rPr>
          <w:sz w:val="21"/>
          <w:szCs w:val="21"/>
          <w:lang w:val="en-US" w:eastAsia="ja-JP"/>
        </w:rPr>
        <w:t>にジュネーブにて組織会合が開催された。閉会の辞</w:t>
      </w:r>
      <w:r w:rsidR="007B021E" w:rsidRPr="00D6026E">
        <w:rPr>
          <w:rFonts w:hint="eastAsia"/>
          <w:sz w:val="21"/>
          <w:szCs w:val="21"/>
          <w:lang w:val="en-US" w:eastAsia="ja-JP"/>
        </w:rPr>
        <w:t>で</w:t>
      </w:r>
      <w:r w:rsidRPr="00D6026E">
        <w:rPr>
          <w:sz w:val="21"/>
          <w:szCs w:val="21"/>
          <w:lang w:val="en-US" w:eastAsia="ja-JP"/>
        </w:rPr>
        <w:t>議長は</w:t>
      </w:r>
      <w:r w:rsidR="003D0C68" w:rsidRPr="00D6026E">
        <w:rPr>
          <w:rFonts w:hint="eastAsia"/>
          <w:sz w:val="21"/>
          <w:szCs w:val="21"/>
          <w:lang w:val="en-US" w:eastAsia="ja-JP"/>
        </w:rPr>
        <w:t>、</w:t>
      </w:r>
      <w:r w:rsidRPr="00D6026E">
        <w:rPr>
          <w:sz w:val="21"/>
          <w:szCs w:val="21"/>
          <w:lang w:val="en-US" w:eastAsia="ja-JP"/>
        </w:rPr>
        <w:t>書面による意見提出期間の開始を発表した。</w:t>
      </w:r>
    </w:p>
    <w:p w14:paraId="3FFFA48E" w14:textId="77777777" w:rsidR="005C4ACE" w:rsidRPr="00D6026E" w:rsidRDefault="005C4ACE" w:rsidP="005C4ACE">
      <w:pPr>
        <w:spacing w:after="0" w:line="240" w:lineRule="auto"/>
        <w:rPr>
          <w:sz w:val="21"/>
          <w:szCs w:val="21"/>
          <w:lang w:val="en-US" w:eastAsia="ja-JP"/>
        </w:rPr>
      </w:pPr>
    </w:p>
    <w:p w14:paraId="4D58A47E" w14:textId="77777777" w:rsidR="005C4ACE" w:rsidRPr="00D6026E" w:rsidRDefault="005C4ACE" w:rsidP="005C4ACE">
      <w:pPr>
        <w:spacing w:after="0" w:line="240" w:lineRule="auto"/>
        <w:ind w:firstLineChars="100" w:firstLine="210"/>
        <w:rPr>
          <w:sz w:val="21"/>
          <w:szCs w:val="21"/>
          <w:lang w:val="en-US" w:eastAsia="ja-JP"/>
        </w:rPr>
      </w:pPr>
      <w:r w:rsidRPr="00D6026E">
        <w:rPr>
          <w:sz w:val="21"/>
          <w:szCs w:val="21"/>
          <w:lang w:val="en-US" w:eastAsia="ja-JP"/>
        </w:rPr>
        <w:t>意見募集の案内は、国連人権高等弁務官事務所（OHCHR）のウェブサイトに掲載されている。提出期限は2026年4月22日である。</w:t>
      </w:r>
    </w:p>
    <w:p w14:paraId="5CAB457F" w14:textId="77777777" w:rsidR="005C4ACE" w:rsidRPr="00D6026E" w:rsidRDefault="005C4ACE" w:rsidP="005C4ACE">
      <w:pPr>
        <w:spacing w:after="0" w:line="240" w:lineRule="auto"/>
        <w:rPr>
          <w:sz w:val="21"/>
          <w:szCs w:val="21"/>
          <w:lang w:val="en-US" w:eastAsia="ja-JP"/>
        </w:rPr>
      </w:pPr>
    </w:p>
    <w:p w14:paraId="3195FD2B" w14:textId="0CCB6CB3" w:rsidR="005C4ACE" w:rsidRPr="00D6026E" w:rsidRDefault="00444639" w:rsidP="008D0CBA">
      <w:pPr>
        <w:spacing w:after="0" w:line="240" w:lineRule="auto"/>
        <w:jc w:val="center"/>
        <w:rPr>
          <w:rFonts w:ascii="BIZ UDゴシック" w:eastAsia="BIZ UDゴシック" w:hAnsi="BIZ UDゴシック"/>
          <w:b/>
          <w:bCs/>
          <w:u w:val="single"/>
          <w:lang w:val="en-US" w:eastAsia="ja-JP"/>
        </w:rPr>
      </w:pPr>
      <w:r w:rsidRPr="00D6026E">
        <w:rPr>
          <w:rFonts w:ascii="BIZ UDゴシック" w:eastAsia="BIZ UDゴシック" w:hAnsi="BIZ UDゴシック" w:hint="eastAsia"/>
          <w:b/>
          <w:bCs/>
          <w:u w:val="single"/>
          <w:lang w:val="en-US" w:eastAsia="ja-JP"/>
        </w:rPr>
        <w:t>国連</w:t>
      </w:r>
      <w:r w:rsidR="005C4ACE" w:rsidRPr="00D6026E">
        <w:rPr>
          <w:rFonts w:ascii="BIZ UDゴシック" w:eastAsia="BIZ UDゴシック" w:hAnsi="BIZ UDゴシック"/>
          <w:b/>
          <w:bCs/>
          <w:u w:val="single"/>
          <w:lang w:val="en-US" w:eastAsia="ja-JP"/>
        </w:rPr>
        <w:t>経済社会局（DESA）および国連地域委員会からの意見</w:t>
      </w:r>
    </w:p>
    <w:p w14:paraId="07A513EA" w14:textId="77777777" w:rsidR="005C4ACE" w:rsidRPr="00D6026E" w:rsidRDefault="005C4ACE" w:rsidP="005C4ACE">
      <w:pPr>
        <w:spacing w:after="0" w:line="240" w:lineRule="auto"/>
        <w:rPr>
          <w:sz w:val="21"/>
          <w:szCs w:val="21"/>
          <w:lang w:eastAsia="ja-JP"/>
        </w:rPr>
      </w:pPr>
    </w:p>
    <w:p w14:paraId="1E2931C0" w14:textId="096EE499" w:rsidR="005C4ACE" w:rsidRPr="00D6026E" w:rsidRDefault="003D0C68" w:rsidP="005C4ACE">
      <w:pPr>
        <w:spacing w:after="0" w:line="240" w:lineRule="auto"/>
        <w:rPr>
          <w:rFonts w:ascii="BIZ UDゴシック" w:eastAsia="BIZ UDゴシック" w:hAnsi="BIZ UDゴシック"/>
          <w:sz w:val="21"/>
          <w:szCs w:val="21"/>
          <w:lang w:eastAsia="ja-JP"/>
        </w:rPr>
      </w:pPr>
      <w:r w:rsidRPr="00D6026E">
        <w:rPr>
          <w:rFonts w:ascii="BIZ UDゴシック" w:eastAsia="BIZ UDゴシック" w:hAnsi="BIZ UDゴシック" w:hint="eastAsia"/>
          <w:sz w:val="21"/>
          <w:szCs w:val="21"/>
          <w:lang w:eastAsia="ja-JP"/>
        </w:rPr>
        <w:t>質問</w:t>
      </w:r>
      <w:r w:rsidRPr="00D6026E">
        <w:rPr>
          <w:rFonts w:ascii="BIZ UDゴシック" w:eastAsia="BIZ UDゴシック" w:hAnsi="BIZ UDゴシック"/>
          <w:sz w:val="21"/>
          <w:szCs w:val="21"/>
          <w:lang w:eastAsia="ja-JP"/>
        </w:rPr>
        <w:t>1. 高齢者の人権に関する国際的な法的拘束力のある文書は、どのような包括的な枠組みに基づいて策定されるべきか？さらに、高齢者がすべての人権および基本的自由を完</w:t>
      </w:r>
      <w:r w:rsidRPr="00D6026E">
        <w:rPr>
          <w:rFonts w:ascii="BIZ UDゴシック" w:eastAsia="BIZ UDゴシック" w:hAnsi="BIZ UDゴシック"/>
          <w:sz w:val="21"/>
          <w:szCs w:val="21"/>
          <w:lang w:eastAsia="ja-JP"/>
        </w:rPr>
        <w:lastRenderedPageBreak/>
        <w:t>全かつ平等に享受する権利保有者であるという認識を、その文書が最も適切に反映し、強化するにはどうすべきか？</w:t>
      </w:r>
    </w:p>
    <w:p w14:paraId="2123AAF4" w14:textId="77777777" w:rsidR="003D0C68" w:rsidRPr="00D6026E" w:rsidRDefault="003D0C68" w:rsidP="005C4ACE">
      <w:pPr>
        <w:spacing w:after="0" w:line="240" w:lineRule="auto"/>
        <w:rPr>
          <w:sz w:val="21"/>
          <w:szCs w:val="21"/>
          <w:lang w:eastAsia="ja-JP"/>
        </w:rPr>
      </w:pPr>
    </w:p>
    <w:p w14:paraId="2D664567" w14:textId="77777777" w:rsidR="005C4ACE" w:rsidRPr="00D6026E" w:rsidRDefault="005C4ACE" w:rsidP="005C4ACE">
      <w:pPr>
        <w:spacing w:after="0" w:line="240" w:lineRule="auto"/>
        <w:rPr>
          <w:rFonts w:ascii="BIZ UDゴシック" w:eastAsia="BIZ UDゴシック" w:hAnsi="BIZ UDゴシック"/>
          <w:u w:val="single"/>
          <w:lang w:eastAsia="ja-JP"/>
        </w:rPr>
      </w:pPr>
      <w:r w:rsidRPr="00D6026E">
        <w:rPr>
          <w:rFonts w:ascii="BIZ UDゴシック" w:eastAsia="BIZ UDゴシック" w:hAnsi="BIZ UDゴシック" w:hint="eastAsia"/>
          <w:u w:val="single"/>
          <w:lang w:eastAsia="ja-JP"/>
        </w:rPr>
        <w:t>目的：</w:t>
      </w:r>
    </w:p>
    <w:p w14:paraId="4781522A" w14:textId="77777777" w:rsidR="005C4ACE" w:rsidRPr="00D6026E" w:rsidRDefault="005C4ACE" w:rsidP="005C4ACE">
      <w:pPr>
        <w:spacing w:after="0" w:line="240" w:lineRule="auto"/>
        <w:rPr>
          <w:sz w:val="21"/>
          <w:szCs w:val="21"/>
          <w:lang w:eastAsia="ja-JP"/>
        </w:rPr>
      </w:pPr>
    </w:p>
    <w:p w14:paraId="4739F59E" w14:textId="5F206F25" w:rsidR="005C4ACE" w:rsidRPr="00D6026E" w:rsidRDefault="00444639" w:rsidP="008B65C2">
      <w:pPr>
        <w:spacing w:after="0" w:line="240" w:lineRule="auto"/>
        <w:ind w:firstLineChars="100" w:firstLine="210"/>
        <w:rPr>
          <w:sz w:val="21"/>
          <w:szCs w:val="21"/>
          <w:lang w:eastAsia="ja-JP"/>
        </w:rPr>
      </w:pPr>
      <w:r w:rsidRPr="00D6026E">
        <w:rPr>
          <w:rFonts w:hint="eastAsia"/>
          <w:sz w:val="21"/>
          <w:szCs w:val="21"/>
          <w:lang w:eastAsia="ja-JP"/>
        </w:rPr>
        <w:t>人権</w:t>
      </w:r>
      <w:r w:rsidR="007B021E" w:rsidRPr="00D6026E">
        <w:rPr>
          <w:rFonts w:hint="eastAsia"/>
          <w:sz w:val="21"/>
          <w:szCs w:val="21"/>
          <w:lang w:eastAsia="ja-JP"/>
        </w:rPr>
        <w:t>理事会決議</w:t>
      </w:r>
      <w:r w:rsidR="005C4ACE" w:rsidRPr="00D6026E">
        <w:rPr>
          <w:sz w:val="21"/>
          <w:szCs w:val="21"/>
          <w:lang w:eastAsia="ja-JP"/>
        </w:rPr>
        <w:t>58</w:t>
      </w:r>
      <w:r w:rsidRPr="00D6026E">
        <w:rPr>
          <w:rFonts w:hint="eastAsia"/>
          <w:sz w:val="21"/>
          <w:szCs w:val="21"/>
          <w:lang w:eastAsia="ja-JP"/>
        </w:rPr>
        <w:t>/</w:t>
      </w:r>
      <w:r w:rsidR="005C4ACE" w:rsidRPr="00D6026E">
        <w:rPr>
          <w:sz w:val="21"/>
          <w:szCs w:val="21"/>
          <w:lang w:eastAsia="ja-JP"/>
        </w:rPr>
        <w:t>13に従い、高齢者の人権に関する国際的な法的拘束力のある文書草案は、高齢者の人権の促進、保護、および完全な享受の確保を目的とすべきである。</w:t>
      </w:r>
    </w:p>
    <w:p w14:paraId="15907881" w14:textId="77777777" w:rsidR="005C4ACE" w:rsidRPr="00D6026E" w:rsidRDefault="005C4ACE" w:rsidP="005C4ACE">
      <w:pPr>
        <w:spacing w:after="0" w:line="240" w:lineRule="auto"/>
        <w:rPr>
          <w:sz w:val="21"/>
          <w:szCs w:val="21"/>
          <w:lang w:eastAsia="ja-JP"/>
        </w:rPr>
      </w:pPr>
    </w:p>
    <w:p w14:paraId="626BB8FD" w14:textId="77777777" w:rsidR="005C4ACE" w:rsidRPr="00D6026E" w:rsidRDefault="005C4ACE" w:rsidP="005C4ACE">
      <w:pPr>
        <w:spacing w:after="0" w:line="240" w:lineRule="auto"/>
        <w:rPr>
          <w:rFonts w:ascii="BIZ UDゴシック" w:eastAsia="BIZ UDゴシック" w:hAnsi="BIZ UDゴシック"/>
          <w:sz w:val="21"/>
          <w:szCs w:val="21"/>
          <w:u w:val="single"/>
          <w:lang w:eastAsia="ja-JP"/>
        </w:rPr>
      </w:pPr>
      <w:r w:rsidRPr="00D6026E">
        <w:rPr>
          <w:rFonts w:ascii="BIZ UDゴシック" w:eastAsia="BIZ UDゴシック" w:hAnsi="BIZ UDゴシック" w:hint="eastAsia"/>
          <w:sz w:val="21"/>
          <w:szCs w:val="21"/>
          <w:u w:val="single"/>
          <w:lang w:eastAsia="ja-JP"/>
        </w:rPr>
        <w:t>包括的枠組み：</w:t>
      </w:r>
    </w:p>
    <w:p w14:paraId="59A4B0BA" w14:textId="77777777" w:rsidR="005C4ACE" w:rsidRPr="00D6026E" w:rsidRDefault="005C4ACE" w:rsidP="005C4ACE">
      <w:pPr>
        <w:spacing w:after="0" w:line="240" w:lineRule="auto"/>
        <w:rPr>
          <w:sz w:val="21"/>
          <w:szCs w:val="21"/>
          <w:lang w:eastAsia="ja-JP"/>
        </w:rPr>
      </w:pPr>
    </w:p>
    <w:p w14:paraId="1E1CC237" w14:textId="5A4BD917" w:rsidR="005C4ACE" w:rsidRPr="00D6026E" w:rsidRDefault="005C4ACE" w:rsidP="008B65C2">
      <w:pPr>
        <w:spacing w:after="0" w:line="240" w:lineRule="auto"/>
        <w:ind w:firstLineChars="100" w:firstLine="210"/>
        <w:rPr>
          <w:sz w:val="21"/>
          <w:szCs w:val="21"/>
          <w:lang w:eastAsia="ja-JP"/>
        </w:rPr>
      </w:pPr>
      <w:r w:rsidRPr="00D6026E">
        <w:rPr>
          <w:rFonts w:hint="eastAsia"/>
          <w:sz w:val="21"/>
          <w:szCs w:val="21"/>
          <w:lang w:eastAsia="ja-JP"/>
        </w:rPr>
        <w:t>国際的な法的拘束力のある文書草案は、既存の人権義務が高齢者にどのように適用されるかを明確に</w:t>
      </w:r>
      <w:r w:rsidR="007B021E" w:rsidRPr="00D6026E">
        <w:rPr>
          <w:rFonts w:hint="eastAsia"/>
          <w:sz w:val="21"/>
          <w:szCs w:val="21"/>
          <w:lang w:eastAsia="ja-JP"/>
        </w:rPr>
        <w:t>することによって</w:t>
      </w:r>
      <w:r w:rsidRPr="00D6026E">
        <w:rPr>
          <w:rFonts w:hint="eastAsia"/>
          <w:sz w:val="21"/>
          <w:szCs w:val="21"/>
          <w:lang w:eastAsia="ja-JP"/>
        </w:rPr>
        <w:t>、</w:t>
      </w:r>
      <w:r w:rsidR="007B021E" w:rsidRPr="00D6026E">
        <w:rPr>
          <w:rFonts w:hint="eastAsia"/>
          <w:sz w:val="21"/>
          <w:szCs w:val="21"/>
          <w:lang w:eastAsia="ja-JP"/>
        </w:rPr>
        <w:t>また、</w:t>
      </w:r>
      <w:r w:rsidRPr="00D6026E">
        <w:rPr>
          <w:rFonts w:hint="eastAsia"/>
          <w:sz w:val="21"/>
          <w:szCs w:val="21"/>
          <w:lang w:eastAsia="ja-JP"/>
        </w:rPr>
        <w:t>その規範的枠組み</w:t>
      </w:r>
      <w:r w:rsidR="0000785B" w:rsidRPr="00D6026E">
        <w:rPr>
          <w:rFonts w:hint="eastAsia"/>
          <w:sz w:val="21"/>
          <w:szCs w:val="21"/>
          <w:lang w:eastAsia="ja-JP"/>
        </w:rPr>
        <w:t>の</w:t>
      </w:r>
      <w:r w:rsidR="001D1754" w:rsidRPr="00D6026E">
        <w:rPr>
          <w:rFonts w:hint="eastAsia"/>
          <w:sz w:val="21"/>
          <w:szCs w:val="21"/>
          <w:lang w:eastAsia="ja-JP"/>
        </w:rPr>
        <w:t>欠落</w:t>
      </w:r>
      <w:r w:rsidRPr="00D6026E">
        <w:rPr>
          <w:rFonts w:hint="eastAsia"/>
          <w:sz w:val="21"/>
          <w:szCs w:val="21"/>
          <w:lang w:eastAsia="ja-JP"/>
        </w:rPr>
        <w:t>、曖昧さ、または不整合を特定・是正すること</w:t>
      </w:r>
      <w:r w:rsidR="0000785B" w:rsidRPr="00D6026E">
        <w:rPr>
          <w:rFonts w:hint="eastAsia"/>
          <w:sz w:val="21"/>
          <w:szCs w:val="21"/>
          <w:lang w:eastAsia="ja-JP"/>
        </w:rPr>
        <w:t>によって</w:t>
      </w:r>
      <w:r w:rsidRPr="00D6026E">
        <w:rPr>
          <w:rFonts w:hint="eastAsia"/>
          <w:sz w:val="21"/>
          <w:szCs w:val="21"/>
          <w:lang w:eastAsia="ja-JP"/>
        </w:rPr>
        <w:t>、最低限の規範的基準を定義・成文化</w:t>
      </w:r>
      <w:r w:rsidR="0000785B" w:rsidRPr="00D6026E">
        <w:rPr>
          <w:rFonts w:hint="eastAsia"/>
          <w:sz w:val="21"/>
          <w:szCs w:val="21"/>
          <w:lang w:eastAsia="ja-JP"/>
        </w:rPr>
        <w:t>する。</w:t>
      </w:r>
      <w:r w:rsidRPr="00D6026E">
        <w:rPr>
          <w:rFonts w:hint="eastAsia"/>
          <w:sz w:val="21"/>
          <w:szCs w:val="21"/>
          <w:lang w:eastAsia="ja-JP"/>
        </w:rPr>
        <w:t>そ</w:t>
      </w:r>
      <w:r w:rsidR="0000785B" w:rsidRPr="00D6026E">
        <w:rPr>
          <w:rFonts w:hint="eastAsia"/>
          <w:sz w:val="21"/>
          <w:szCs w:val="21"/>
          <w:lang w:eastAsia="ja-JP"/>
        </w:rPr>
        <w:t>のこと</w:t>
      </w:r>
      <w:r w:rsidRPr="00D6026E">
        <w:rPr>
          <w:rFonts w:hint="eastAsia"/>
          <w:sz w:val="21"/>
          <w:szCs w:val="21"/>
          <w:lang w:eastAsia="ja-JP"/>
        </w:rPr>
        <w:t>よって国際レベルにおける高齢者の人権のための</w:t>
      </w:r>
      <w:r w:rsidR="001D1754" w:rsidRPr="00D6026E">
        <w:rPr>
          <w:rFonts w:hint="eastAsia"/>
          <w:sz w:val="21"/>
          <w:szCs w:val="21"/>
          <w:lang w:eastAsia="ja-JP"/>
        </w:rPr>
        <w:t>固有</w:t>
      </w:r>
      <w:r w:rsidR="0000785B" w:rsidRPr="00D6026E">
        <w:rPr>
          <w:rFonts w:hint="eastAsia"/>
          <w:sz w:val="21"/>
          <w:szCs w:val="21"/>
          <w:lang w:eastAsia="ja-JP"/>
        </w:rPr>
        <w:t>の、</w:t>
      </w:r>
      <w:r w:rsidRPr="00D6026E">
        <w:rPr>
          <w:rFonts w:hint="eastAsia"/>
          <w:sz w:val="21"/>
          <w:szCs w:val="21"/>
          <w:lang w:eastAsia="ja-JP"/>
        </w:rPr>
        <w:t>かつ適切な保障の提供に寄与する。</w:t>
      </w:r>
    </w:p>
    <w:p w14:paraId="50536802" w14:textId="77777777" w:rsidR="005C4ACE" w:rsidRPr="00D6026E" w:rsidRDefault="005C4ACE" w:rsidP="005C4ACE">
      <w:pPr>
        <w:spacing w:after="0" w:line="240" w:lineRule="auto"/>
        <w:rPr>
          <w:sz w:val="21"/>
          <w:szCs w:val="21"/>
          <w:lang w:eastAsia="ja-JP"/>
        </w:rPr>
      </w:pPr>
    </w:p>
    <w:p w14:paraId="2AC9FF20" w14:textId="77777777" w:rsidR="005C4ACE" w:rsidRPr="00D6026E" w:rsidRDefault="005C4ACE" w:rsidP="008B65C2">
      <w:pPr>
        <w:spacing w:after="0" w:line="240" w:lineRule="auto"/>
        <w:ind w:firstLineChars="100" w:firstLine="210"/>
        <w:rPr>
          <w:sz w:val="21"/>
          <w:szCs w:val="21"/>
          <w:lang w:eastAsia="ja-JP"/>
        </w:rPr>
      </w:pPr>
      <w:r w:rsidRPr="00D6026E">
        <w:rPr>
          <w:rFonts w:hint="eastAsia"/>
          <w:sz w:val="21"/>
          <w:szCs w:val="21"/>
          <w:lang w:eastAsia="ja-JP"/>
        </w:rPr>
        <w:t>本条約草案は、以下の事項を盛り込むべきである：</w:t>
      </w:r>
    </w:p>
    <w:p w14:paraId="097A5390" w14:textId="6C6E65C9" w:rsidR="005C4ACE" w:rsidRPr="00D6026E" w:rsidRDefault="005C4ACE" w:rsidP="005C4ACE">
      <w:pPr>
        <w:spacing w:after="0" w:line="240" w:lineRule="auto"/>
        <w:rPr>
          <w:sz w:val="21"/>
          <w:szCs w:val="21"/>
          <w:lang w:eastAsia="ja-JP"/>
        </w:rPr>
      </w:pPr>
      <w:r w:rsidRPr="00D6026E">
        <w:rPr>
          <w:sz w:val="21"/>
          <w:szCs w:val="21"/>
          <w:lang w:eastAsia="ja-JP"/>
        </w:rPr>
        <w:t xml:space="preserve">1.    </w:t>
      </w:r>
      <w:r w:rsidRPr="00D6026E">
        <w:rPr>
          <w:b/>
          <w:bCs/>
          <w:sz w:val="21"/>
          <w:szCs w:val="21"/>
          <w:lang w:eastAsia="ja-JP"/>
        </w:rPr>
        <w:t>高齢者を完全な権利</w:t>
      </w:r>
      <w:r w:rsidR="0000785B" w:rsidRPr="00D6026E">
        <w:rPr>
          <w:rFonts w:hint="eastAsia"/>
          <w:b/>
          <w:bCs/>
          <w:sz w:val="21"/>
          <w:szCs w:val="21"/>
          <w:lang w:eastAsia="ja-JP"/>
        </w:rPr>
        <w:t>保有者</w:t>
      </w:r>
      <w:r w:rsidRPr="00D6026E">
        <w:rPr>
          <w:b/>
          <w:bCs/>
          <w:sz w:val="21"/>
          <w:szCs w:val="21"/>
          <w:lang w:eastAsia="ja-JP"/>
        </w:rPr>
        <w:t>として</w:t>
      </w:r>
      <w:r w:rsidRPr="00D6026E">
        <w:rPr>
          <w:sz w:val="21"/>
          <w:szCs w:val="21"/>
          <w:lang w:eastAsia="ja-JP"/>
        </w:rPr>
        <w:t>位置づけ、年齢に基づく差別なく、すべての人権を平等に享受する権利を</w:t>
      </w:r>
      <w:r w:rsidR="003D0C68" w:rsidRPr="00D6026E">
        <w:rPr>
          <w:rFonts w:hint="eastAsia"/>
          <w:sz w:val="21"/>
          <w:szCs w:val="21"/>
          <w:lang w:eastAsia="ja-JP"/>
        </w:rPr>
        <w:t>もつ</w:t>
      </w:r>
      <w:r w:rsidRPr="00D6026E">
        <w:rPr>
          <w:sz w:val="21"/>
          <w:szCs w:val="21"/>
          <w:lang w:eastAsia="ja-JP"/>
        </w:rPr>
        <w:t>ことを</w:t>
      </w:r>
      <w:r w:rsidRPr="00D6026E">
        <w:rPr>
          <w:b/>
          <w:bCs/>
          <w:sz w:val="21"/>
          <w:szCs w:val="21"/>
          <w:lang w:eastAsia="ja-JP"/>
        </w:rPr>
        <w:t>確認する</w:t>
      </w:r>
      <w:r w:rsidRPr="00D6026E">
        <w:rPr>
          <w:sz w:val="21"/>
          <w:szCs w:val="21"/>
          <w:lang w:eastAsia="ja-JP"/>
        </w:rPr>
        <w:t>。</w:t>
      </w:r>
    </w:p>
    <w:p w14:paraId="39A656A0" w14:textId="27704EA8" w:rsidR="005C4ACE" w:rsidRPr="00D6026E" w:rsidRDefault="005C4ACE" w:rsidP="005C4ACE">
      <w:pPr>
        <w:spacing w:after="0" w:line="240" w:lineRule="auto"/>
        <w:rPr>
          <w:sz w:val="21"/>
          <w:szCs w:val="21"/>
          <w:lang w:eastAsia="ja-JP"/>
        </w:rPr>
      </w:pPr>
      <w:r w:rsidRPr="00D6026E">
        <w:rPr>
          <w:sz w:val="21"/>
          <w:szCs w:val="21"/>
          <w:lang w:eastAsia="ja-JP"/>
        </w:rPr>
        <w:t>2.    高齢期における人権の完全な享受を妨げる可能性のある、</w:t>
      </w:r>
      <w:r w:rsidR="0000785B" w:rsidRPr="00D6026E">
        <w:rPr>
          <w:b/>
          <w:bCs/>
          <w:sz w:val="21"/>
          <w:szCs w:val="21"/>
          <w:lang w:eastAsia="ja-JP"/>
        </w:rPr>
        <w:t>交差的</w:t>
      </w:r>
      <w:r w:rsidR="0000785B" w:rsidRPr="00D6026E">
        <w:rPr>
          <w:rFonts w:hint="eastAsia"/>
          <w:b/>
          <w:bCs/>
          <w:sz w:val="21"/>
          <w:szCs w:val="21"/>
          <w:lang w:eastAsia="ja-JP"/>
        </w:rPr>
        <w:t>・</w:t>
      </w:r>
      <w:r w:rsidR="0000785B" w:rsidRPr="00D6026E">
        <w:rPr>
          <w:b/>
          <w:bCs/>
          <w:sz w:val="21"/>
          <w:szCs w:val="21"/>
          <w:lang w:eastAsia="ja-JP"/>
        </w:rPr>
        <w:t>複合的な形態の差別に対処する</w:t>
      </w:r>
      <w:r w:rsidR="0000785B" w:rsidRPr="00D6026E">
        <w:rPr>
          <w:sz w:val="21"/>
          <w:szCs w:val="21"/>
          <w:lang w:eastAsia="ja-JP"/>
        </w:rPr>
        <w:t>。</w:t>
      </w:r>
      <w:r w:rsidR="0000785B" w:rsidRPr="00D6026E">
        <w:rPr>
          <w:rFonts w:hint="eastAsia"/>
          <w:sz w:val="21"/>
          <w:szCs w:val="21"/>
          <w:lang w:eastAsia="ja-JP"/>
        </w:rPr>
        <w:t>そこには（高齢という要素に加えて）、</w:t>
      </w:r>
      <w:r w:rsidRPr="00D6026E">
        <w:rPr>
          <w:sz w:val="21"/>
          <w:szCs w:val="21"/>
          <w:lang w:eastAsia="ja-JP"/>
        </w:rPr>
        <w:t>性別、障害、人種、民族、先住民族性、移民の地位、および社会経済的状況に基づくもの</w:t>
      </w:r>
      <w:r w:rsidR="0000785B" w:rsidRPr="00D6026E">
        <w:rPr>
          <w:rFonts w:hint="eastAsia"/>
          <w:sz w:val="21"/>
          <w:szCs w:val="21"/>
          <w:lang w:eastAsia="ja-JP"/>
        </w:rPr>
        <w:t>が含まれる。</w:t>
      </w:r>
    </w:p>
    <w:p w14:paraId="29A0068B" w14:textId="0A84087C" w:rsidR="005C4ACE" w:rsidRPr="00D6026E" w:rsidRDefault="005C4ACE" w:rsidP="005C4ACE">
      <w:pPr>
        <w:spacing w:after="0" w:line="240" w:lineRule="auto"/>
        <w:rPr>
          <w:sz w:val="21"/>
          <w:szCs w:val="21"/>
          <w:lang w:eastAsia="ja-JP"/>
        </w:rPr>
      </w:pPr>
      <w:r w:rsidRPr="00D6026E">
        <w:rPr>
          <w:sz w:val="21"/>
          <w:szCs w:val="21"/>
          <w:lang w:eastAsia="ja-JP"/>
        </w:rPr>
        <w:t xml:space="preserve">3.    </w:t>
      </w:r>
      <w:r w:rsidRPr="00D6026E">
        <w:rPr>
          <w:b/>
          <w:bCs/>
          <w:sz w:val="21"/>
          <w:szCs w:val="21"/>
          <w:lang w:eastAsia="ja-JP"/>
        </w:rPr>
        <w:t>高齢者が</w:t>
      </w:r>
      <w:r w:rsidRPr="00D6026E">
        <w:rPr>
          <w:sz w:val="21"/>
          <w:szCs w:val="21"/>
          <w:lang w:eastAsia="ja-JP"/>
        </w:rPr>
        <w:t>持続可能な</w:t>
      </w:r>
      <w:r w:rsidR="00965AE8" w:rsidRPr="00D6026E">
        <w:rPr>
          <w:rFonts w:hint="eastAsia"/>
          <w:sz w:val="21"/>
          <w:szCs w:val="21"/>
          <w:lang w:eastAsia="ja-JP"/>
        </w:rPr>
        <w:t>発展</w:t>
      </w:r>
      <w:r w:rsidRPr="00D6026E">
        <w:rPr>
          <w:sz w:val="21"/>
          <w:szCs w:val="21"/>
          <w:lang w:eastAsia="ja-JP"/>
        </w:rPr>
        <w:t>および地域社会の文化的多様性に対して</w:t>
      </w:r>
      <w:r w:rsidRPr="00D6026E">
        <w:rPr>
          <w:b/>
          <w:bCs/>
          <w:sz w:val="21"/>
          <w:szCs w:val="21"/>
          <w:lang w:eastAsia="ja-JP"/>
        </w:rPr>
        <w:t>果たす貢献を認識する</w:t>
      </w:r>
      <w:r w:rsidRPr="00D6026E">
        <w:rPr>
          <w:sz w:val="21"/>
          <w:szCs w:val="21"/>
          <w:lang w:eastAsia="ja-JP"/>
        </w:rPr>
        <w:t>。</w:t>
      </w:r>
    </w:p>
    <w:p w14:paraId="3FEF86F0" w14:textId="06463971" w:rsidR="005C4ACE" w:rsidRPr="00D6026E" w:rsidRDefault="005C4ACE" w:rsidP="005C4ACE">
      <w:pPr>
        <w:spacing w:after="0" w:line="240" w:lineRule="auto"/>
        <w:rPr>
          <w:sz w:val="21"/>
          <w:szCs w:val="21"/>
          <w:lang w:eastAsia="ja-JP"/>
        </w:rPr>
      </w:pPr>
      <w:r w:rsidRPr="00D6026E">
        <w:rPr>
          <w:sz w:val="21"/>
          <w:szCs w:val="21"/>
          <w:lang w:eastAsia="ja-JP"/>
        </w:rPr>
        <w:t>4.    高齢者の人権の促進、保護</w:t>
      </w:r>
      <w:r w:rsidR="003A7A7F" w:rsidRPr="00D6026E">
        <w:rPr>
          <w:rFonts w:hint="eastAsia"/>
          <w:sz w:val="21"/>
          <w:szCs w:val="21"/>
          <w:lang w:eastAsia="ja-JP"/>
        </w:rPr>
        <w:t>、</w:t>
      </w:r>
      <w:r w:rsidRPr="00D6026E">
        <w:rPr>
          <w:sz w:val="21"/>
          <w:szCs w:val="21"/>
          <w:lang w:eastAsia="ja-JP"/>
        </w:rPr>
        <w:t>および実現</w:t>
      </w:r>
      <w:r w:rsidR="00965AE8" w:rsidRPr="00D6026E">
        <w:rPr>
          <w:rFonts w:hint="eastAsia"/>
          <w:sz w:val="21"/>
          <w:szCs w:val="21"/>
          <w:lang w:eastAsia="ja-JP"/>
        </w:rPr>
        <w:t>のための</w:t>
      </w:r>
      <w:r w:rsidRPr="00D6026E">
        <w:rPr>
          <w:sz w:val="21"/>
          <w:szCs w:val="21"/>
          <w:lang w:eastAsia="ja-JP"/>
        </w:rPr>
        <w:t>、</w:t>
      </w:r>
      <w:r w:rsidRPr="00D6026E">
        <w:rPr>
          <w:b/>
          <w:bCs/>
          <w:sz w:val="21"/>
          <w:szCs w:val="21"/>
          <w:lang w:eastAsia="ja-JP"/>
        </w:rPr>
        <w:t>法的拘束力を持つ最低限の規範的基準を定義し、成文化する</w:t>
      </w:r>
      <w:r w:rsidRPr="00D6026E">
        <w:rPr>
          <w:sz w:val="21"/>
          <w:szCs w:val="21"/>
          <w:lang w:eastAsia="ja-JP"/>
        </w:rPr>
        <w:t>。</w:t>
      </w:r>
    </w:p>
    <w:p w14:paraId="3B559DAB" w14:textId="5BDE6455" w:rsidR="005C4ACE" w:rsidRPr="00D6026E" w:rsidRDefault="005C4ACE" w:rsidP="005C4ACE">
      <w:pPr>
        <w:spacing w:after="0" w:line="240" w:lineRule="auto"/>
        <w:rPr>
          <w:sz w:val="21"/>
          <w:szCs w:val="21"/>
          <w:lang w:eastAsia="ja-JP"/>
        </w:rPr>
      </w:pPr>
      <w:r w:rsidRPr="00D6026E">
        <w:rPr>
          <w:sz w:val="21"/>
          <w:szCs w:val="21"/>
          <w:lang w:eastAsia="ja-JP"/>
        </w:rPr>
        <w:t>5.    高齢者の人権の促進と保護を支援するための</w:t>
      </w:r>
      <w:r w:rsidRPr="00D6026E">
        <w:rPr>
          <w:b/>
          <w:bCs/>
          <w:sz w:val="21"/>
          <w:szCs w:val="21"/>
          <w:lang w:eastAsia="ja-JP"/>
        </w:rPr>
        <w:t>国際協力を強化する</w:t>
      </w:r>
      <w:r w:rsidRPr="00D6026E">
        <w:rPr>
          <w:sz w:val="21"/>
          <w:szCs w:val="21"/>
          <w:lang w:eastAsia="ja-JP"/>
        </w:rPr>
        <w:t>。</w:t>
      </w:r>
    </w:p>
    <w:p w14:paraId="1A154222" w14:textId="3B0D304C" w:rsidR="005C4ACE" w:rsidRPr="00D6026E" w:rsidRDefault="005C4ACE" w:rsidP="005C4ACE">
      <w:pPr>
        <w:spacing w:after="0" w:line="240" w:lineRule="auto"/>
        <w:rPr>
          <w:sz w:val="21"/>
          <w:szCs w:val="21"/>
          <w:lang w:eastAsia="ja-JP"/>
        </w:rPr>
      </w:pPr>
      <w:r w:rsidRPr="00D6026E">
        <w:rPr>
          <w:sz w:val="21"/>
          <w:szCs w:val="21"/>
          <w:lang w:eastAsia="ja-JP"/>
        </w:rPr>
        <w:t xml:space="preserve">6.    </w:t>
      </w:r>
      <w:r w:rsidRPr="00D6026E">
        <w:rPr>
          <w:b/>
          <w:bCs/>
          <w:sz w:val="21"/>
          <w:szCs w:val="21"/>
          <w:lang w:eastAsia="ja-JP"/>
        </w:rPr>
        <w:t>高齢者に適用される国際人権法に基づく国家の義務を明確</w:t>
      </w:r>
      <w:r w:rsidR="003A7A7F" w:rsidRPr="00D6026E">
        <w:rPr>
          <w:rFonts w:hint="eastAsia"/>
          <w:b/>
          <w:bCs/>
          <w:sz w:val="21"/>
          <w:szCs w:val="21"/>
          <w:lang w:eastAsia="ja-JP"/>
        </w:rPr>
        <w:t>に</w:t>
      </w:r>
      <w:r w:rsidRPr="00D6026E">
        <w:rPr>
          <w:b/>
          <w:bCs/>
          <w:sz w:val="21"/>
          <w:szCs w:val="21"/>
          <w:lang w:eastAsia="ja-JP"/>
        </w:rPr>
        <w:t>する</w:t>
      </w:r>
      <w:r w:rsidRPr="00D6026E">
        <w:rPr>
          <w:sz w:val="21"/>
          <w:szCs w:val="21"/>
          <w:lang w:eastAsia="ja-JP"/>
        </w:rPr>
        <w:t>。これには、既存の規範的枠組</w:t>
      </w:r>
      <w:r w:rsidR="0000785B" w:rsidRPr="00D6026E">
        <w:rPr>
          <w:rFonts w:hint="eastAsia"/>
          <w:sz w:val="21"/>
          <w:szCs w:val="21"/>
          <w:lang w:eastAsia="ja-JP"/>
        </w:rPr>
        <w:t>みの</w:t>
      </w:r>
      <w:r w:rsidRPr="00D6026E">
        <w:rPr>
          <w:sz w:val="21"/>
          <w:szCs w:val="21"/>
          <w:lang w:eastAsia="ja-JP"/>
        </w:rPr>
        <w:t>欠落、曖昧さ、および不整合に対処することが含まれ</w:t>
      </w:r>
      <w:r w:rsidR="0000785B" w:rsidRPr="00D6026E">
        <w:rPr>
          <w:rFonts w:hint="eastAsia"/>
          <w:sz w:val="21"/>
          <w:szCs w:val="21"/>
          <w:lang w:eastAsia="ja-JP"/>
        </w:rPr>
        <w:t>る。</w:t>
      </w:r>
      <w:r w:rsidR="00AF60BE" w:rsidRPr="00D6026E">
        <w:rPr>
          <w:rFonts w:hint="eastAsia"/>
          <w:sz w:val="21"/>
          <w:szCs w:val="21"/>
          <w:lang w:eastAsia="ja-JP"/>
        </w:rPr>
        <w:t>それによって</w:t>
      </w:r>
      <w:r w:rsidRPr="00D6026E">
        <w:rPr>
          <w:sz w:val="21"/>
          <w:szCs w:val="21"/>
          <w:lang w:eastAsia="ja-JP"/>
        </w:rPr>
        <w:t>国際レベルでの</w:t>
      </w:r>
      <w:r w:rsidR="00AF60BE" w:rsidRPr="00D6026E">
        <w:rPr>
          <w:rFonts w:hint="eastAsia"/>
          <w:sz w:val="21"/>
          <w:szCs w:val="21"/>
          <w:lang w:eastAsia="ja-JP"/>
        </w:rPr>
        <w:t>固有</w:t>
      </w:r>
      <w:r w:rsidR="0000785B" w:rsidRPr="00D6026E">
        <w:rPr>
          <w:rFonts w:hint="eastAsia"/>
          <w:sz w:val="21"/>
          <w:szCs w:val="21"/>
          <w:lang w:eastAsia="ja-JP"/>
        </w:rPr>
        <w:t>の、かつ</w:t>
      </w:r>
      <w:r w:rsidRPr="00D6026E">
        <w:rPr>
          <w:sz w:val="21"/>
          <w:szCs w:val="21"/>
          <w:lang w:eastAsia="ja-JP"/>
        </w:rPr>
        <w:t>適切な保障の提供に寄与する。</w:t>
      </w:r>
    </w:p>
    <w:p w14:paraId="7E333311" w14:textId="2978CD13" w:rsidR="005C4ACE" w:rsidRPr="00D6026E" w:rsidRDefault="005C4ACE" w:rsidP="005C4ACE">
      <w:pPr>
        <w:spacing w:after="0" w:line="240" w:lineRule="auto"/>
        <w:rPr>
          <w:sz w:val="21"/>
          <w:szCs w:val="21"/>
          <w:lang w:eastAsia="ja-JP"/>
        </w:rPr>
      </w:pPr>
      <w:r w:rsidRPr="00D6026E">
        <w:rPr>
          <w:sz w:val="21"/>
          <w:szCs w:val="21"/>
          <w:lang w:eastAsia="ja-JP"/>
        </w:rPr>
        <w:t>7.    高齢者に関する</w:t>
      </w:r>
      <w:r w:rsidR="0000785B" w:rsidRPr="00D6026E">
        <w:rPr>
          <w:rFonts w:hint="eastAsia"/>
          <w:sz w:val="21"/>
          <w:szCs w:val="21"/>
          <w:lang w:eastAsia="ja-JP"/>
        </w:rPr>
        <w:t>こと</w:t>
      </w:r>
      <w:r w:rsidRPr="00D6026E">
        <w:rPr>
          <w:sz w:val="21"/>
          <w:szCs w:val="21"/>
          <w:lang w:eastAsia="ja-JP"/>
        </w:rPr>
        <w:t>は、高齢者抜きで決</w:t>
      </w:r>
      <w:r w:rsidR="0000785B" w:rsidRPr="00D6026E">
        <w:rPr>
          <w:rFonts w:hint="eastAsia"/>
          <w:sz w:val="21"/>
          <w:szCs w:val="21"/>
          <w:lang w:eastAsia="ja-JP"/>
        </w:rPr>
        <w:t>め</w:t>
      </w:r>
      <w:r w:rsidRPr="00D6026E">
        <w:rPr>
          <w:sz w:val="21"/>
          <w:szCs w:val="21"/>
          <w:lang w:eastAsia="ja-JP"/>
        </w:rPr>
        <w:t>てはならないという原則に</w:t>
      </w:r>
      <w:r w:rsidR="00604300" w:rsidRPr="00D6026E">
        <w:rPr>
          <w:rFonts w:hint="eastAsia"/>
          <w:sz w:val="21"/>
          <w:szCs w:val="21"/>
          <w:lang w:eastAsia="ja-JP"/>
        </w:rPr>
        <w:t>基づき</w:t>
      </w:r>
      <w:r w:rsidRPr="00D6026E">
        <w:rPr>
          <w:sz w:val="21"/>
          <w:szCs w:val="21"/>
          <w:lang w:eastAsia="ja-JP"/>
        </w:rPr>
        <w:t>、高齢者の多様性を認識しつつ、</w:t>
      </w:r>
      <w:r w:rsidRPr="00D6026E">
        <w:rPr>
          <w:b/>
          <w:bCs/>
          <w:sz w:val="21"/>
          <w:szCs w:val="21"/>
          <w:lang w:eastAsia="ja-JP"/>
        </w:rPr>
        <w:t>意思決定、実施、および</w:t>
      </w:r>
      <w:r w:rsidR="0000785B" w:rsidRPr="00D6026E">
        <w:rPr>
          <w:rFonts w:hint="eastAsia"/>
          <w:b/>
          <w:bCs/>
          <w:sz w:val="21"/>
          <w:szCs w:val="21"/>
          <w:lang w:eastAsia="ja-JP"/>
        </w:rPr>
        <w:t>監視</w:t>
      </w:r>
      <w:r w:rsidRPr="00D6026E">
        <w:rPr>
          <w:b/>
          <w:bCs/>
          <w:sz w:val="21"/>
          <w:szCs w:val="21"/>
          <w:lang w:eastAsia="ja-JP"/>
        </w:rPr>
        <w:t>のあらゆる段階において、高齢者の完全かつ効果的</w:t>
      </w:r>
      <w:r w:rsidR="00D607D8" w:rsidRPr="00D6026E">
        <w:rPr>
          <w:rFonts w:hint="eastAsia"/>
          <w:b/>
          <w:bCs/>
          <w:sz w:val="21"/>
          <w:szCs w:val="21"/>
          <w:lang w:eastAsia="ja-JP"/>
        </w:rPr>
        <w:t>な</w:t>
      </w:r>
      <w:r w:rsidRPr="00D6026E">
        <w:rPr>
          <w:b/>
          <w:bCs/>
          <w:sz w:val="21"/>
          <w:szCs w:val="21"/>
          <w:lang w:eastAsia="ja-JP"/>
        </w:rPr>
        <w:t>、代表</w:t>
      </w:r>
      <w:r w:rsidR="0000785B" w:rsidRPr="00D6026E">
        <w:rPr>
          <w:rFonts w:hint="eastAsia"/>
          <w:b/>
          <w:bCs/>
          <w:sz w:val="21"/>
          <w:szCs w:val="21"/>
          <w:lang w:eastAsia="ja-JP"/>
        </w:rPr>
        <w:t>者を通じての、</w:t>
      </w:r>
      <w:r w:rsidRPr="00D6026E">
        <w:rPr>
          <w:b/>
          <w:bCs/>
          <w:sz w:val="21"/>
          <w:szCs w:val="21"/>
          <w:lang w:eastAsia="ja-JP"/>
        </w:rPr>
        <w:t>かつ有意義な参加を確保する</w:t>
      </w:r>
      <w:r w:rsidRPr="00D6026E">
        <w:rPr>
          <w:sz w:val="21"/>
          <w:szCs w:val="21"/>
          <w:lang w:eastAsia="ja-JP"/>
        </w:rPr>
        <w:t>。</w:t>
      </w:r>
    </w:p>
    <w:p w14:paraId="7FE86F50" w14:textId="688B9B0C" w:rsidR="005C4ACE" w:rsidRPr="00D6026E" w:rsidRDefault="005C4ACE" w:rsidP="005C4ACE">
      <w:pPr>
        <w:spacing w:after="0" w:line="240" w:lineRule="auto"/>
        <w:rPr>
          <w:sz w:val="21"/>
          <w:szCs w:val="21"/>
          <w:lang w:eastAsia="ja-JP"/>
        </w:rPr>
      </w:pPr>
      <w:r w:rsidRPr="00D6026E">
        <w:rPr>
          <w:sz w:val="21"/>
          <w:szCs w:val="21"/>
          <w:lang w:eastAsia="ja-JP"/>
        </w:rPr>
        <w:t>8.    本草案が、普遍的定期的審査（UPR）、</w:t>
      </w:r>
      <w:r w:rsidR="009A7791" w:rsidRPr="00D6026E">
        <w:rPr>
          <w:rFonts w:hint="eastAsia"/>
          <w:sz w:val="21"/>
          <w:szCs w:val="21"/>
          <w:lang w:eastAsia="ja-JP"/>
        </w:rPr>
        <w:t>条約機関</w:t>
      </w:r>
      <w:r w:rsidRPr="00D6026E">
        <w:rPr>
          <w:sz w:val="21"/>
          <w:szCs w:val="21"/>
          <w:lang w:eastAsia="ja-JP"/>
        </w:rPr>
        <w:t>、特別手続など、国際人権システムにおいてすでに確立され、効果的に機能している</w:t>
      </w:r>
      <w:r w:rsidRPr="00D6026E">
        <w:rPr>
          <w:b/>
          <w:bCs/>
          <w:sz w:val="21"/>
          <w:szCs w:val="21"/>
          <w:lang w:eastAsia="ja-JP"/>
        </w:rPr>
        <w:t>既存の人権上の義務やプロセスを再掲したり、重複させたりすることのないよう</w:t>
      </w:r>
      <w:r w:rsidR="00D607D8" w:rsidRPr="00D6026E">
        <w:rPr>
          <w:rFonts w:hint="eastAsia"/>
          <w:b/>
          <w:bCs/>
          <w:sz w:val="21"/>
          <w:szCs w:val="21"/>
          <w:lang w:eastAsia="ja-JP"/>
        </w:rPr>
        <w:t>に</w:t>
      </w:r>
      <w:r w:rsidRPr="00D6026E">
        <w:rPr>
          <w:b/>
          <w:bCs/>
          <w:sz w:val="21"/>
          <w:szCs w:val="21"/>
          <w:lang w:eastAsia="ja-JP"/>
        </w:rPr>
        <w:t>する</w:t>
      </w:r>
      <w:r w:rsidR="0000785B" w:rsidRPr="00D6026E">
        <w:rPr>
          <w:rFonts w:hint="eastAsia"/>
          <w:sz w:val="21"/>
          <w:szCs w:val="21"/>
          <w:lang w:eastAsia="ja-JP"/>
        </w:rPr>
        <w:t>。また、</w:t>
      </w:r>
      <w:r w:rsidRPr="00D6026E">
        <w:rPr>
          <w:sz w:val="21"/>
          <w:szCs w:val="21"/>
          <w:lang w:eastAsia="ja-JP"/>
        </w:rPr>
        <w:t>国家報告、建設的対話、</w:t>
      </w:r>
      <w:r w:rsidR="0000785B" w:rsidRPr="00D6026E">
        <w:rPr>
          <w:rFonts w:hint="eastAsia"/>
          <w:sz w:val="21"/>
          <w:szCs w:val="21"/>
          <w:lang w:eastAsia="ja-JP"/>
        </w:rPr>
        <w:t>総括</w:t>
      </w:r>
      <w:r w:rsidRPr="00D6026E">
        <w:rPr>
          <w:sz w:val="21"/>
          <w:szCs w:val="21"/>
          <w:lang w:eastAsia="ja-JP"/>
        </w:rPr>
        <w:t>所見などを含むこれらの</w:t>
      </w:r>
      <w:r w:rsidR="00D607D8" w:rsidRPr="00D6026E">
        <w:rPr>
          <w:rFonts w:hint="eastAsia"/>
          <w:sz w:val="21"/>
          <w:szCs w:val="21"/>
          <w:lang w:eastAsia="ja-JP"/>
        </w:rPr>
        <w:t>仕組みで</w:t>
      </w:r>
      <w:r w:rsidRPr="00D6026E">
        <w:rPr>
          <w:sz w:val="21"/>
          <w:szCs w:val="21"/>
          <w:lang w:eastAsia="ja-JP"/>
        </w:rPr>
        <w:t>、</w:t>
      </w:r>
      <w:r w:rsidRPr="00D6026E">
        <w:rPr>
          <w:b/>
          <w:bCs/>
          <w:sz w:val="21"/>
          <w:szCs w:val="21"/>
          <w:lang w:eastAsia="ja-JP"/>
        </w:rPr>
        <w:t>高齢者の</w:t>
      </w:r>
      <w:r w:rsidR="009A7791" w:rsidRPr="00D6026E">
        <w:rPr>
          <w:rFonts w:hint="eastAsia"/>
          <w:b/>
          <w:bCs/>
          <w:sz w:val="21"/>
          <w:szCs w:val="21"/>
          <w:lang w:eastAsia="ja-JP"/>
        </w:rPr>
        <w:t>固有</w:t>
      </w:r>
      <w:r w:rsidRPr="00D6026E">
        <w:rPr>
          <w:b/>
          <w:bCs/>
          <w:sz w:val="21"/>
          <w:szCs w:val="21"/>
          <w:lang w:eastAsia="ja-JP"/>
        </w:rPr>
        <w:t>の状況に対する配慮</w:t>
      </w:r>
      <w:r w:rsidR="003A7A7F" w:rsidRPr="00D6026E">
        <w:rPr>
          <w:rFonts w:hint="eastAsia"/>
          <w:b/>
          <w:bCs/>
          <w:sz w:val="21"/>
          <w:szCs w:val="21"/>
          <w:lang w:eastAsia="ja-JP"/>
        </w:rPr>
        <w:t>を</w:t>
      </w:r>
      <w:r w:rsidRPr="00D6026E">
        <w:rPr>
          <w:b/>
          <w:bCs/>
          <w:sz w:val="21"/>
          <w:szCs w:val="21"/>
          <w:lang w:eastAsia="ja-JP"/>
        </w:rPr>
        <w:t>強化</w:t>
      </w:r>
      <w:r w:rsidR="00D607D8" w:rsidRPr="00D6026E">
        <w:rPr>
          <w:rFonts w:hint="eastAsia"/>
          <w:b/>
          <w:bCs/>
          <w:sz w:val="21"/>
          <w:szCs w:val="21"/>
          <w:lang w:eastAsia="ja-JP"/>
        </w:rPr>
        <w:t>す</w:t>
      </w:r>
      <w:r w:rsidRPr="00D6026E">
        <w:rPr>
          <w:b/>
          <w:bCs/>
          <w:sz w:val="21"/>
          <w:szCs w:val="21"/>
          <w:lang w:eastAsia="ja-JP"/>
        </w:rPr>
        <w:t>る</w:t>
      </w:r>
      <w:r w:rsidRPr="00D6026E">
        <w:rPr>
          <w:sz w:val="21"/>
          <w:szCs w:val="21"/>
          <w:lang w:eastAsia="ja-JP"/>
        </w:rPr>
        <w:t>。</w:t>
      </w:r>
    </w:p>
    <w:p w14:paraId="7F032B47" w14:textId="274FF9E9" w:rsidR="005C4ACE" w:rsidRPr="00D6026E" w:rsidRDefault="005C4ACE" w:rsidP="005C4ACE">
      <w:pPr>
        <w:spacing w:after="0" w:line="240" w:lineRule="auto"/>
        <w:rPr>
          <w:sz w:val="21"/>
          <w:szCs w:val="21"/>
          <w:lang w:eastAsia="ja-JP"/>
        </w:rPr>
      </w:pPr>
      <w:r w:rsidRPr="00D6026E">
        <w:rPr>
          <w:sz w:val="21"/>
          <w:szCs w:val="21"/>
          <w:lang w:eastAsia="ja-JP"/>
        </w:rPr>
        <w:lastRenderedPageBreak/>
        <w:t xml:space="preserve">9.    </w:t>
      </w:r>
      <w:r w:rsidRPr="00D6026E">
        <w:rPr>
          <w:b/>
          <w:bCs/>
          <w:sz w:val="21"/>
          <w:szCs w:val="21"/>
          <w:lang w:eastAsia="ja-JP"/>
        </w:rPr>
        <w:t>既存の国際人権基準を変更、再解釈、または緩和することなく</w:t>
      </w:r>
      <w:r w:rsidRPr="00D6026E">
        <w:rPr>
          <w:sz w:val="21"/>
          <w:szCs w:val="21"/>
          <w:lang w:eastAsia="ja-JP"/>
        </w:rPr>
        <w:t>、高齢期における人権の適用に関する不備に対処し、その適用を明確</w:t>
      </w:r>
      <w:r w:rsidR="003A7A7F" w:rsidRPr="00D6026E">
        <w:rPr>
          <w:rFonts w:hint="eastAsia"/>
          <w:sz w:val="21"/>
          <w:szCs w:val="21"/>
          <w:lang w:eastAsia="ja-JP"/>
        </w:rPr>
        <w:t>に</w:t>
      </w:r>
      <w:r w:rsidRPr="00D6026E">
        <w:rPr>
          <w:sz w:val="21"/>
          <w:szCs w:val="21"/>
          <w:lang w:eastAsia="ja-JP"/>
        </w:rPr>
        <w:t>する。</w:t>
      </w:r>
    </w:p>
    <w:p w14:paraId="1909300A" w14:textId="50F783EB" w:rsidR="005C4ACE" w:rsidRPr="00D6026E" w:rsidRDefault="005C4ACE" w:rsidP="005C4ACE">
      <w:pPr>
        <w:spacing w:after="0" w:line="240" w:lineRule="auto"/>
        <w:rPr>
          <w:sz w:val="21"/>
          <w:szCs w:val="21"/>
          <w:lang w:eastAsia="ja-JP"/>
        </w:rPr>
      </w:pPr>
      <w:r w:rsidRPr="00D6026E">
        <w:rPr>
          <w:sz w:val="21"/>
          <w:szCs w:val="21"/>
          <w:lang w:eastAsia="ja-JP"/>
        </w:rPr>
        <w:t>10.    法的拘束力のある人権基準に焦点を当てることで、本草案の</w:t>
      </w:r>
      <w:r w:rsidRPr="00D6026E">
        <w:rPr>
          <w:b/>
          <w:bCs/>
          <w:sz w:val="21"/>
          <w:szCs w:val="21"/>
          <w:lang w:eastAsia="ja-JP"/>
        </w:rPr>
        <w:t>規範的範囲を維持する</w:t>
      </w:r>
      <w:r w:rsidRPr="00D6026E">
        <w:rPr>
          <w:sz w:val="21"/>
          <w:szCs w:val="21"/>
          <w:lang w:eastAsia="ja-JP"/>
        </w:rPr>
        <w:t>。ただし、既存の政府間合意に基づく政治的</w:t>
      </w:r>
      <w:r w:rsidR="0000785B" w:rsidRPr="00D6026E">
        <w:rPr>
          <w:rFonts w:hint="eastAsia"/>
          <w:sz w:val="21"/>
          <w:szCs w:val="21"/>
          <w:lang w:eastAsia="ja-JP"/>
        </w:rPr>
        <w:t>約束</w:t>
      </w:r>
      <w:r w:rsidRPr="00D6026E">
        <w:rPr>
          <w:sz w:val="21"/>
          <w:szCs w:val="21"/>
          <w:lang w:eastAsia="ja-JP"/>
        </w:rPr>
        <w:t>および関連する政策枠組みは、加盟国主導のプロセスにおける政策の策定と実施のための適切な手段であり、それらの基準を参考とすることができることを認識する。</w:t>
      </w:r>
    </w:p>
    <w:p w14:paraId="4F12B112" w14:textId="77777777" w:rsidR="005C4ACE" w:rsidRPr="00D6026E" w:rsidRDefault="005C4ACE" w:rsidP="005C4ACE">
      <w:pPr>
        <w:spacing w:after="0" w:line="240" w:lineRule="auto"/>
        <w:rPr>
          <w:sz w:val="21"/>
          <w:szCs w:val="21"/>
          <w:lang w:eastAsia="ja-JP"/>
        </w:rPr>
      </w:pPr>
      <w:r w:rsidRPr="00D6026E">
        <w:rPr>
          <w:sz w:val="21"/>
          <w:szCs w:val="21"/>
          <w:lang w:eastAsia="ja-JP"/>
        </w:rPr>
        <w:t>11.    しばしばデータシステムから取り残されがちな高齢者に関するデータ収集・分析の強化などを通じ、</w:t>
      </w:r>
      <w:r w:rsidRPr="00D6026E">
        <w:rPr>
          <w:b/>
          <w:bCs/>
          <w:sz w:val="21"/>
          <w:szCs w:val="21"/>
          <w:lang w:eastAsia="ja-JP"/>
        </w:rPr>
        <w:t>本条約を監視する</w:t>
      </w:r>
      <w:r w:rsidRPr="00D6026E">
        <w:rPr>
          <w:sz w:val="21"/>
          <w:szCs w:val="21"/>
          <w:lang w:eastAsia="ja-JP"/>
        </w:rPr>
        <w:t>メカニズムを確立する。</w:t>
      </w:r>
    </w:p>
    <w:p w14:paraId="318F7CA4" w14:textId="77777777" w:rsidR="005C4ACE" w:rsidRPr="00D6026E" w:rsidRDefault="005C4ACE" w:rsidP="005C4ACE">
      <w:pPr>
        <w:spacing w:after="0" w:line="240" w:lineRule="auto"/>
        <w:rPr>
          <w:sz w:val="21"/>
          <w:szCs w:val="21"/>
          <w:lang w:eastAsia="ja-JP"/>
        </w:rPr>
      </w:pPr>
    </w:p>
    <w:p w14:paraId="61FDF0B5" w14:textId="5D14B00C" w:rsidR="005C4ACE" w:rsidRPr="00D6026E" w:rsidRDefault="003D0C68" w:rsidP="005C4ACE">
      <w:pPr>
        <w:spacing w:after="0" w:line="240" w:lineRule="auto"/>
        <w:rPr>
          <w:rFonts w:ascii="BIZ UDゴシック" w:eastAsia="BIZ UDゴシック" w:hAnsi="BIZ UDゴシック"/>
          <w:sz w:val="21"/>
          <w:szCs w:val="21"/>
          <w:lang w:eastAsia="ja-JP"/>
        </w:rPr>
      </w:pPr>
      <w:r w:rsidRPr="00D6026E">
        <w:rPr>
          <w:rFonts w:ascii="BIZ UDゴシック" w:eastAsia="BIZ UDゴシック" w:hAnsi="BIZ UDゴシック" w:hint="eastAsia"/>
          <w:sz w:val="21"/>
          <w:szCs w:val="21"/>
          <w:lang w:eastAsia="ja-JP"/>
        </w:rPr>
        <w:t>質問</w:t>
      </w:r>
      <w:r w:rsidRPr="00D6026E">
        <w:rPr>
          <w:rFonts w:ascii="BIZ UDゴシック" w:eastAsia="BIZ UDゴシック" w:hAnsi="BIZ UDゴシック"/>
          <w:sz w:val="21"/>
          <w:szCs w:val="21"/>
          <w:lang w:eastAsia="ja-JP"/>
        </w:rPr>
        <w:t>2. 高齢者の権利を効果的に保護するために、法的拘束力のある文書はどのような中核的な原則に基づくべきか？さらに、この法的拘束力のある文書は、高齢者の既存の人権を再確認すると同時に、あらたに規範的発展が必要な問題や課題（ギャップ）を明確に特定し、対処するにはどうすればよいか？</w:t>
      </w:r>
    </w:p>
    <w:p w14:paraId="471F155D" w14:textId="77777777" w:rsidR="003D0C68" w:rsidRPr="00D6026E" w:rsidRDefault="003D0C68" w:rsidP="005C4ACE">
      <w:pPr>
        <w:spacing w:after="0" w:line="240" w:lineRule="auto"/>
        <w:rPr>
          <w:sz w:val="21"/>
          <w:szCs w:val="21"/>
          <w:lang w:eastAsia="ja-JP"/>
        </w:rPr>
      </w:pPr>
    </w:p>
    <w:p w14:paraId="660827DE" w14:textId="58A89C01" w:rsidR="005C4ACE" w:rsidRPr="00D6026E" w:rsidRDefault="005C4ACE" w:rsidP="008B65C2">
      <w:pPr>
        <w:spacing w:after="0" w:line="240" w:lineRule="auto"/>
        <w:ind w:firstLineChars="100" w:firstLine="210"/>
        <w:rPr>
          <w:sz w:val="21"/>
          <w:szCs w:val="21"/>
          <w:lang w:eastAsia="ja-JP"/>
        </w:rPr>
      </w:pPr>
      <w:r w:rsidRPr="00D6026E">
        <w:rPr>
          <w:rFonts w:hint="eastAsia"/>
          <w:sz w:val="21"/>
          <w:szCs w:val="21"/>
          <w:lang w:eastAsia="ja-JP"/>
        </w:rPr>
        <w:t>法的拘束力のある文書を支える中核的原則は、</w:t>
      </w:r>
      <w:r w:rsidR="003A040B" w:rsidRPr="00D6026E">
        <w:rPr>
          <w:rFonts w:hint="eastAsia"/>
          <w:sz w:val="21"/>
          <w:szCs w:val="21"/>
          <w:lang w:eastAsia="ja-JP"/>
        </w:rPr>
        <w:t>（以下のような）</w:t>
      </w:r>
      <w:r w:rsidRPr="00D6026E">
        <w:rPr>
          <w:rFonts w:hint="eastAsia"/>
          <w:sz w:val="21"/>
          <w:szCs w:val="21"/>
          <w:lang w:eastAsia="ja-JP"/>
        </w:rPr>
        <w:t>既存の基盤の上に構築されるべきである：</w:t>
      </w:r>
    </w:p>
    <w:p w14:paraId="61EE60DD" w14:textId="77777777" w:rsidR="005C4ACE" w:rsidRPr="00D6026E" w:rsidRDefault="005C4ACE" w:rsidP="005C4ACE">
      <w:pPr>
        <w:spacing w:after="0" w:line="240" w:lineRule="auto"/>
        <w:rPr>
          <w:sz w:val="21"/>
          <w:szCs w:val="21"/>
          <w:lang w:eastAsia="ja-JP"/>
        </w:rPr>
      </w:pPr>
    </w:p>
    <w:p w14:paraId="1106E9BC" w14:textId="75ABF301" w:rsidR="005C4ACE" w:rsidRPr="00D6026E" w:rsidRDefault="005C4ACE" w:rsidP="005C4ACE">
      <w:pPr>
        <w:spacing w:after="0" w:line="240" w:lineRule="auto"/>
        <w:rPr>
          <w:rFonts w:ascii="BIZ UDゴシック" w:eastAsia="BIZ UDゴシック" w:hAnsi="BIZ UDゴシック"/>
          <w:sz w:val="21"/>
          <w:szCs w:val="21"/>
          <w:lang w:eastAsia="ja-JP"/>
        </w:rPr>
      </w:pPr>
      <w:r w:rsidRPr="00D6026E">
        <w:rPr>
          <w:rFonts w:ascii="BIZ UDゴシック" w:eastAsia="BIZ UDゴシック" w:hAnsi="BIZ UDゴシック"/>
          <w:sz w:val="21"/>
          <w:szCs w:val="21"/>
          <w:lang w:eastAsia="ja-JP"/>
        </w:rPr>
        <w:t xml:space="preserve">1.    </w:t>
      </w:r>
      <w:r w:rsidR="003A040B" w:rsidRPr="00D6026E">
        <w:rPr>
          <w:rFonts w:ascii="BIZ UDゴシック" w:eastAsia="BIZ UDゴシック" w:hAnsi="BIZ UDゴシック" w:hint="eastAsia"/>
          <w:sz w:val="21"/>
          <w:szCs w:val="21"/>
          <w:lang w:eastAsia="ja-JP"/>
        </w:rPr>
        <w:t>高齢者のための国連原則</w:t>
      </w:r>
    </w:p>
    <w:p w14:paraId="514196E8" w14:textId="05AB6DDF" w:rsidR="005C4ACE" w:rsidRPr="00D6026E" w:rsidRDefault="00D607D8" w:rsidP="008B65C2">
      <w:pPr>
        <w:spacing w:after="0" w:line="240" w:lineRule="auto"/>
        <w:ind w:firstLineChars="100" w:firstLine="210"/>
        <w:rPr>
          <w:sz w:val="21"/>
          <w:szCs w:val="21"/>
          <w:lang w:eastAsia="ja-JP"/>
        </w:rPr>
      </w:pPr>
      <w:r w:rsidRPr="00D6026E">
        <w:rPr>
          <w:rFonts w:hint="eastAsia"/>
          <w:sz w:val="21"/>
          <w:szCs w:val="21"/>
          <w:lang w:eastAsia="ja-JP"/>
        </w:rPr>
        <w:t>この</w:t>
      </w:r>
      <w:r w:rsidR="005C4ACE" w:rsidRPr="00D6026E">
        <w:rPr>
          <w:rFonts w:hint="eastAsia"/>
          <w:sz w:val="21"/>
          <w:szCs w:val="21"/>
          <w:lang w:eastAsia="ja-JP"/>
        </w:rPr>
        <w:t>原則は、国連総会決議</w:t>
      </w:r>
      <w:r w:rsidR="005C4ACE" w:rsidRPr="00D6026E">
        <w:rPr>
          <w:sz w:val="21"/>
          <w:szCs w:val="21"/>
          <w:lang w:eastAsia="ja-JP"/>
        </w:rPr>
        <w:t>46/91（1991年）により採択されたもので、各国政府に、適切な形で国家プログラムにこれら</w:t>
      </w:r>
      <w:r w:rsidR="003A040B" w:rsidRPr="00D6026E">
        <w:rPr>
          <w:rFonts w:hint="eastAsia"/>
          <w:sz w:val="21"/>
          <w:szCs w:val="21"/>
          <w:lang w:eastAsia="ja-JP"/>
        </w:rPr>
        <w:t>の原則</w:t>
      </w:r>
      <w:r w:rsidR="005C4ACE" w:rsidRPr="00D6026E">
        <w:rPr>
          <w:sz w:val="21"/>
          <w:szCs w:val="21"/>
          <w:lang w:eastAsia="ja-JP"/>
        </w:rPr>
        <w:t>を組み入れるよう奨励している。具体的には、</w:t>
      </w:r>
      <w:r w:rsidR="001A6937" w:rsidRPr="00D6026E">
        <w:rPr>
          <w:rFonts w:hint="eastAsia"/>
          <w:sz w:val="21"/>
          <w:szCs w:val="21"/>
          <w:lang w:eastAsia="ja-JP"/>
        </w:rPr>
        <w:t>独立</w:t>
      </w:r>
      <w:r w:rsidR="005C4ACE" w:rsidRPr="00D6026E">
        <w:rPr>
          <w:sz w:val="21"/>
          <w:szCs w:val="21"/>
          <w:lang w:eastAsia="ja-JP"/>
        </w:rPr>
        <w:t>、参加、ケア、自己実現、尊厳である。</w:t>
      </w:r>
    </w:p>
    <w:p w14:paraId="2D9613E0" w14:textId="77777777" w:rsidR="005C4ACE" w:rsidRPr="00D6026E" w:rsidRDefault="005C4ACE" w:rsidP="005C4ACE">
      <w:pPr>
        <w:spacing w:after="0" w:line="240" w:lineRule="auto"/>
        <w:rPr>
          <w:rFonts w:ascii="BIZ UDゴシック" w:eastAsia="BIZ UDゴシック" w:hAnsi="BIZ UDゴシック"/>
          <w:sz w:val="21"/>
          <w:szCs w:val="21"/>
          <w:lang w:eastAsia="ja-JP"/>
        </w:rPr>
      </w:pPr>
      <w:r w:rsidRPr="00D6026E">
        <w:rPr>
          <w:rFonts w:ascii="BIZ UDゴシック" w:eastAsia="BIZ UDゴシック" w:hAnsi="BIZ UDゴシック"/>
          <w:sz w:val="21"/>
          <w:szCs w:val="21"/>
          <w:lang w:eastAsia="ja-JP"/>
        </w:rPr>
        <w:t>2.    高齢者の権利に関する確立された原則</w:t>
      </w:r>
    </w:p>
    <w:p w14:paraId="71855489" w14:textId="52D771C6" w:rsidR="005C4ACE" w:rsidRPr="00D6026E" w:rsidRDefault="001A6937" w:rsidP="008B65C2">
      <w:pPr>
        <w:spacing w:after="0" w:line="240" w:lineRule="auto"/>
        <w:ind w:firstLineChars="100" w:firstLine="210"/>
        <w:rPr>
          <w:sz w:val="21"/>
          <w:szCs w:val="21"/>
          <w:lang w:eastAsia="ja-JP"/>
        </w:rPr>
      </w:pPr>
      <w:r w:rsidRPr="00D6026E">
        <w:rPr>
          <w:rFonts w:hint="eastAsia"/>
          <w:sz w:val="21"/>
          <w:szCs w:val="21"/>
          <w:lang w:eastAsia="ja-JP"/>
        </w:rPr>
        <w:t>独</w:t>
      </w:r>
      <w:r w:rsidR="005C4ACE" w:rsidRPr="00D6026E">
        <w:rPr>
          <w:rFonts w:hint="eastAsia"/>
          <w:sz w:val="21"/>
          <w:szCs w:val="21"/>
          <w:lang w:eastAsia="ja-JP"/>
        </w:rPr>
        <w:t>立、自律、参加、ケア、支援、保護、暴力・虐待・ネグレクトからの自由、自己実現、尊厳といった確立された原則に加え、平等と</w:t>
      </w:r>
      <w:r w:rsidRPr="00D6026E">
        <w:rPr>
          <w:rFonts w:hint="eastAsia"/>
          <w:sz w:val="21"/>
          <w:szCs w:val="21"/>
          <w:lang w:eastAsia="ja-JP"/>
        </w:rPr>
        <w:t>無</w:t>
      </w:r>
      <w:r w:rsidR="005C4ACE" w:rsidRPr="00D6026E">
        <w:rPr>
          <w:rFonts w:hint="eastAsia"/>
          <w:sz w:val="21"/>
          <w:szCs w:val="21"/>
          <w:lang w:eastAsia="ja-JP"/>
        </w:rPr>
        <w:t>差別、包摂、および高齢者の</w:t>
      </w:r>
      <w:r w:rsidRPr="00D6026E">
        <w:rPr>
          <w:rFonts w:hint="eastAsia"/>
          <w:sz w:val="21"/>
          <w:szCs w:val="21"/>
          <w:lang w:eastAsia="ja-JP"/>
        </w:rPr>
        <w:t>エンパワーメントと</w:t>
      </w:r>
      <w:r w:rsidR="005C4ACE" w:rsidRPr="00D6026E">
        <w:rPr>
          <w:rFonts w:hint="eastAsia"/>
          <w:sz w:val="21"/>
          <w:szCs w:val="21"/>
          <w:lang w:eastAsia="ja-JP"/>
        </w:rPr>
        <w:t>機会均等を反映し、アクセシビリティやユニバーサルデザインの問題を含め、権利の完全な享受を妨げる</w:t>
      </w:r>
      <w:r w:rsidRPr="00D6026E">
        <w:rPr>
          <w:rFonts w:hint="eastAsia"/>
          <w:sz w:val="21"/>
          <w:szCs w:val="21"/>
          <w:lang w:eastAsia="ja-JP"/>
        </w:rPr>
        <w:t>バリア</w:t>
      </w:r>
      <w:r w:rsidR="005C4ACE" w:rsidRPr="00D6026E">
        <w:rPr>
          <w:rFonts w:hint="eastAsia"/>
          <w:sz w:val="21"/>
          <w:szCs w:val="21"/>
          <w:lang w:eastAsia="ja-JP"/>
        </w:rPr>
        <w:t>を特定し、対処する必要性を認識する</w:t>
      </w:r>
      <w:r w:rsidRPr="00D6026E">
        <w:rPr>
          <w:rFonts w:hint="eastAsia"/>
          <w:sz w:val="21"/>
          <w:szCs w:val="21"/>
          <w:lang w:eastAsia="ja-JP"/>
        </w:rPr>
        <w:t>こと</w:t>
      </w:r>
      <w:r w:rsidR="005C4ACE" w:rsidRPr="00D6026E">
        <w:rPr>
          <w:rFonts w:hint="eastAsia"/>
          <w:sz w:val="21"/>
          <w:szCs w:val="21"/>
          <w:lang w:eastAsia="ja-JP"/>
        </w:rPr>
        <w:t>である。</w:t>
      </w:r>
    </w:p>
    <w:p w14:paraId="5C3E49C9" w14:textId="18FACC5F" w:rsidR="005C4ACE" w:rsidRPr="00D6026E" w:rsidRDefault="005C4ACE" w:rsidP="005C4ACE">
      <w:pPr>
        <w:spacing w:after="0" w:line="240" w:lineRule="auto"/>
        <w:rPr>
          <w:rFonts w:ascii="BIZ UDゴシック" w:eastAsia="BIZ UDゴシック" w:hAnsi="BIZ UDゴシック"/>
          <w:sz w:val="21"/>
          <w:szCs w:val="21"/>
          <w:lang w:eastAsia="ja-JP"/>
        </w:rPr>
      </w:pPr>
      <w:r w:rsidRPr="00D6026E">
        <w:rPr>
          <w:rFonts w:ascii="BIZ UDゴシック" w:eastAsia="BIZ UDゴシック" w:hAnsi="BIZ UDゴシック"/>
          <w:sz w:val="21"/>
          <w:szCs w:val="21"/>
          <w:lang w:eastAsia="ja-JP"/>
        </w:rPr>
        <w:t>3.    国連高齢化問題機関間グループ（IAGA）の「共通メッセージ」</w:t>
      </w:r>
      <w:r w:rsidR="001A6937" w:rsidRPr="00D6026E">
        <w:rPr>
          <w:rFonts w:ascii="BIZ UDゴシック" w:eastAsia="BIZ UDゴシック" w:hAnsi="BIZ UDゴシック" w:hint="eastAsia"/>
          <w:sz w:val="21"/>
          <w:szCs w:val="21"/>
          <w:lang w:eastAsia="ja-JP"/>
        </w:rPr>
        <w:t>の</w:t>
      </w:r>
      <w:r w:rsidRPr="00D6026E">
        <w:rPr>
          <w:rFonts w:ascii="BIZ UDゴシック" w:eastAsia="BIZ UDゴシック" w:hAnsi="BIZ UDゴシック"/>
          <w:sz w:val="21"/>
          <w:szCs w:val="21"/>
          <w:lang w:eastAsia="ja-JP"/>
        </w:rPr>
        <w:t>基礎的な中核原則</w:t>
      </w:r>
    </w:p>
    <w:p w14:paraId="2BE0F201" w14:textId="0B375B76" w:rsidR="005C4ACE" w:rsidRPr="00D6026E" w:rsidRDefault="005C4ACE" w:rsidP="008B65C2">
      <w:pPr>
        <w:spacing w:after="0" w:line="240" w:lineRule="auto"/>
        <w:ind w:firstLineChars="100" w:firstLine="210"/>
        <w:rPr>
          <w:sz w:val="21"/>
          <w:szCs w:val="21"/>
          <w:lang w:eastAsia="ja-JP"/>
        </w:rPr>
      </w:pPr>
      <w:r w:rsidRPr="00D6026E">
        <w:rPr>
          <w:rFonts w:hint="eastAsia"/>
          <w:sz w:val="21"/>
          <w:szCs w:val="21"/>
          <w:lang w:eastAsia="ja-JP"/>
        </w:rPr>
        <w:t>国連システムによる高齢化、高齢者およびその人権に関する共通メッセージは、</w:t>
      </w:r>
      <w:r w:rsidRPr="00D6026E">
        <w:rPr>
          <w:sz w:val="21"/>
          <w:szCs w:val="21"/>
          <w:lang w:eastAsia="ja-JP"/>
        </w:rPr>
        <w:t>IAGAによる共同の取り組みを導く共通の価値観と原則に基づいてい</w:t>
      </w:r>
      <w:r w:rsidR="001A6937" w:rsidRPr="00D6026E">
        <w:rPr>
          <w:rFonts w:hint="eastAsia"/>
          <w:sz w:val="21"/>
          <w:szCs w:val="21"/>
          <w:lang w:eastAsia="ja-JP"/>
        </w:rPr>
        <w:t>る</w:t>
      </w:r>
      <w:r w:rsidRPr="00D6026E">
        <w:rPr>
          <w:sz w:val="21"/>
          <w:szCs w:val="21"/>
          <w:lang w:eastAsia="ja-JP"/>
        </w:rPr>
        <w:t>。これらの原則は、一貫性と影響力への取り組みを反映しており、政府間レベルで合意された関連する任務、成果、優先事項と整合してい</w:t>
      </w:r>
      <w:r w:rsidR="001A6937" w:rsidRPr="00D6026E">
        <w:rPr>
          <w:rFonts w:hint="eastAsia"/>
          <w:sz w:val="21"/>
          <w:szCs w:val="21"/>
          <w:lang w:eastAsia="ja-JP"/>
        </w:rPr>
        <w:t>る</w:t>
      </w:r>
      <w:r w:rsidRPr="00D6026E">
        <w:rPr>
          <w:sz w:val="21"/>
          <w:szCs w:val="21"/>
          <w:lang w:eastAsia="ja-JP"/>
        </w:rPr>
        <w:t>。</w:t>
      </w:r>
    </w:p>
    <w:p w14:paraId="6DF0C2C5" w14:textId="5210A2F4" w:rsidR="005C4ACE" w:rsidRPr="00D6026E" w:rsidRDefault="005C4ACE" w:rsidP="005C4ACE">
      <w:pPr>
        <w:spacing w:after="0" w:line="240" w:lineRule="auto"/>
        <w:rPr>
          <w:rFonts w:ascii="BIZ UDゴシック" w:eastAsia="BIZ UDゴシック" w:hAnsi="BIZ UDゴシック"/>
          <w:sz w:val="21"/>
          <w:szCs w:val="21"/>
          <w:lang w:eastAsia="ja-JP"/>
        </w:rPr>
      </w:pPr>
      <w:r w:rsidRPr="00D6026E">
        <w:rPr>
          <w:rFonts w:ascii="BIZ UDゴシック" w:eastAsia="BIZ UDゴシック" w:hAnsi="BIZ UDゴシック"/>
          <w:sz w:val="21"/>
          <w:szCs w:val="21"/>
          <w:lang w:eastAsia="ja-JP"/>
        </w:rPr>
        <w:t>4.    国連総会</w:t>
      </w:r>
      <w:r w:rsidR="001A6937" w:rsidRPr="00D6026E">
        <w:rPr>
          <w:rFonts w:ascii="BIZ UDゴシック" w:eastAsia="BIZ UDゴシック" w:hAnsi="BIZ UDゴシック" w:hint="eastAsia"/>
          <w:sz w:val="21"/>
          <w:szCs w:val="21"/>
          <w:lang w:eastAsia="ja-JP"/>
        </w:rPr>
        <w:t>オープンエンド高齢化作業部会</w:t>
      </w:r>
      <w:r w:rsidRPr="00D6026E">
        <w:rPr>
          <w:rFonts w:ascii="BIZ UDゴシック" w:eastAsia="BIZ UDゴシック" w:hAnsi="BIZ UDゴシック"/>
          <w:sz w:val="21"/>
          <w:szCs w:val="21"/>
          <w:lang w:eastAsia="ja-JP"/>
        </w:rPr>
        <w:t>による広範な分析と提言</w:t>
      </w:r>
    </w:p>
    <w:p w14:paraId="486D0277" w14:textId="609662ED" w:rsidR="005C4ACE" w:rsidRPr="00D6026E" w:rsidRDefault="005C4ACE" w:rsidP="008B65C2">
      <w:pPr>
        <w:spacing w:after="0" w:line="240" w:lineRule="auto"/>
        <w:ind w:firstLineChars="100" w:firstLine="210"/>
        <w:rPr>
          <w:sz w:val="21"/>
          <w:szCs w:val="21"/>
          <w:lang w:eastAsia="ja-JP"/>
        </w:rPr>
      </w:pPr>
      <w:r w:rsidRPr="00D6026E">
        <w:rPr>
          <w:sz w:val="21"/>
          <w:szCs w:val="21"/>
          <w:lang w:eastAsia="ja-JP"/>
        </w:rPr>
        <w:t>14回にわたる会合を通じて、国連総会</w:t>
      </w:r>
      <w:r w:rsidR="0027658B" w:rsidRPr="00D6026E">
        <w:rPr>
          <w:rFonts w:hint="eastAsia"/>
          <w:sz w:val="21"/>
          <w:szCs w:val="21"/>
          <w:lang w:eastAsia="ja-JP"/>
        </w:rPr>
        <w:t>の</w:t>
      </w:r>
      <w:r w:rsidR="001A6937" w:rsidRPr="00D6026E">
        <w:rPr>
          <w:rFonts w:hint="eastAsia"/>
          <w:sz w:val="21"/>
          <w:szCs w:val="21"/>
          <w:lang w:eastAsia="ja-JP"/>
        </w:rPr>
        <w:t>オープンエンド高齢化作業部会</w:t>
      </w:r>
      <w:r w:rsidRPr="00D6026E">
        <w:rPr>
          <w:sz w:val="21"/>
          <w:szCs w:val="21"/>
          <w:lang w:eastAsia="ja-JP"/>
        </w:rPr>
        <w:t>は、</w:t>
      </w:r>
      <w:r w:rsidR="001A6937" w:rsidRPr="00D6026E">
        <w:rPr>
          <w:sz w:val="21"/>
          <w:szCs w:val="21"/>
          <w:lang w:eastAsia="ja-JP"/>
        </w:rPr>
        <w:t>高齢者の人権を検討するための包括的な政府間プラットフォームを提供してきた。</w:t>
      </w:r>
      <w:r w:rsidR="001A6937" w:rsidRPr="00D6026E">
        <w:rPr>
          <w:rFonts w:hint="eastAsia"/>
          <w:sz w:val="21"/>
          <w:szCs w:val="21"/>
          <w:lang w:eastAsia="ja-JP"/>
        </w:rPr>
        <w:t>そこには、</w:t>
      </w:r>
      <w:r w:rsidRPr="00D6026E">
        <w:rPr>
          <w:sz w:val="21"/>
          <w:szCs w:val="21"/>
          <w:lang w:eastAsia="ja-JP"/>
        </w:rPr>
        <w:t>加盟国、「A」</w:t>
      </w:r>
      <w:r w:rsidR="001A6937" w:rsidRPr="00D6026E">
        <w:rPr>
          <w:rFonts w:hint="eastAsia"/>
          <w:sz w:val="21"/>
          <w:szCs w:val="21"/>
          <w:lang w:eastAsia="ja-JP"/>
        </w:rPr>
        <w:t>ランク</w:t>
      </w:r>
      <w:r w:rsidRPr="00D6026E">
        <w:rPr>
          <w:sz w:val="21"/>
          <w:szCs w:val="21"/>
          <w:lang w:eastAsia="ja-JP"/>
        </w:rPr>
        <w:t>の国内人権機関、ECOSOC（経済社会理事会）</w:t>
      </w:r>
      <w:r w:rsidR="0027658B" w:rsidRPr="00D6026E">
        <w:rPr>
          <w:rFonts w:hint="eastAsia"/>
          <w:sz w:val="21"/>
          <w:szCs w:val="21"/>
          <w:lang w:eastAsia="ja-JP"/>
        </w:rPr>
        <w:t>、</w:t>
      </w:r>
      <w:r w:rsidR="0027658B" w:rsidRPr="00D6026E">
        <w:rPr>
          <w:sz w:val="21"/>
          <w:szCs w:val="21"/>
          <w:lang w:eastAsia="ja-JP"/>
        </w:rPr>
        <w:t>ECOSOC</w:t>
      </w:r>
      <w:r w:rsidR="0027658B" w:rsidRPr="00D6026E">
        <w:rPr>
          <w:rFonts w:hint="eastAsia"/>
          <w:sz w:val="21"/>
          <w:szCs w:val="21"/>
          <w:lang w:eastAsia="ja-JP"/>
        </w:rPr>
        <w:t>の諮問資格をもつ</w:t>
      </w:r>
      <w:r w:rsidRPr="00D6026E">
        <w:rPr>
          <w:sz w:val="21"/>
          <w:szCs w:val="21"/>
          <w:lang w:eastAsia="ja-JP"/>
        </w:rPr>
        <w:t>非政府組織</w:t>
      </w:r>
      <w:r w:rsidR="0027658B" w:rsidRPr="00D6026E">
        <w:rPr>
          <w:rFonts w:hint="eastAsia"/>
          <w:sz w:val="21"/>
          <w:szCs w:val="21"/>
          <w:lang w:eastAsia="ja-JP"/>
        </w:rPr>
        <w:t>、</w:t>
      </w:r>
      <w:r w:rsidRPr="00D6026E">
        <w:rPr>
          <w:sz w:val="21"/>
          <w:szCs w:val="21"/>
          <w:lang w:eastAsia="ja-JP"/>
        </w:rPr>
        <w:t>および過去に</w:t>
      </w:r>
      <w:r w:rsidR="003A7A7F" w:rsidRPr="00D6026E">
        <w:rPr>
          <w:rFonts w:hint="eastAsia"/>
          <w:sz w:val="21"/>
          <w:szCs w:val="21"/>
          <w:lang w:eastAsia="ja-JP"/>
        </w:rPr>
        <w:t>この</w:t>
      </w:r>
      <w:r w:rsidRPr="00D6026E">
        <w:rPr>
          <w:sz w:val="21"/>
          <w:szCs w:val="21"/>
          <w:lang w:eastAsia="ja-JP"/>
        </w:rPr>
        <w:t>作業部会への参加を認定された組織、ならびに国連基金、</w:t>
      </w:r>
      <w:r w:rsidR="001A6937" w:rsidRPr="00D6026E">
        <w:rPr>
          <w:rFonts w:hint="eastAsia"/>
          <w:sz w:val="21"/>
          <w:szCs w:val="21"/>
          <w:lang w:eastAsia="ja-JP"/>
        </w:rPr>
        <w:t>国連計画</w:t>
      </w:r>
      <w:r w:rsidRPr="00D6026E">
        <w:rPr>
          <w:sz w:val="21"/>
          <w:szCs w:val="21"/>
          <w:lang w:eastAsia="ja-JP"/>
        </w:rPr>
        <w:t>、専門機関、その他の国連機関</w:t>
      </w:r>
      <w:r w:rsidR="001A6937" w:rsidRPr="00D6026E">
        <w:rPr>
          <w:rFonts w:hint="eastAsia"/>
          <w:sz w:val="21"/>
          <w:szCs w:val="21"/>
          <w:lang w:eastAsia="ja-JP"/>
        </w:rPr>
        <w:t>が</w:t>
      </w:r>
      <w:r w:rsidRPr="00D6026E">
        <w:rPr>
          <w:sz w:val="21"/>
          <w:szCs w:val="21"/>
          <w:lang w:eastAsia="ja-JP"/>
        </w:rPr>
        <w:t>貢献</w:t>
      </w:r>
      <w:r w:rsidR="001A6937" w:rsidRPr="00D6026E">
        <w:rPr>
          <w:rFonts w:hint="eastAsia"/>
          <w:sz w:val="21"/>
          <w:szCs w:val="21"/>
          <w:lang w:eastAsia="ja-JP"/>
        </w:rPr>
        <w:t>してきた。</w:t>
      </w:r>
      <w:r w:rsidR="003A7A7F" w:rsidRPr="00D6026E">
        <w:rPr>
          <w:rFonts w:hint="eastAsia"/>
          <w:sz w:val="21"/>
          <w:szCs w:val="21"/>
          <w:lang w:eastAsia="ja-JP"/>
        </w:rPr>
        <w:t>この</w:t>
      </w:r>
      <w:r w:rsidRPr="00D6026E">
        <w:rPr>
          <w:sz w:val="21"/>
          <w:szCs w:val="21"/>
          <w:lang w:eastAsia="ja-JP"/>
        </w:rPr>
        <w:t>作業部会の審議および成果は、規範上の</w:t>
      </w:r>
      <w:r w:rsidR="00046A5A" w:rsidRPr="00D6026E">
        <w:rPr>
          <w:rFonts w:hint="eastAsia"/>
          <w:sz w:val="21"/>
          <w:szCs w:val="21"/>
          <w:lang w:eastAsia="ja-JP"/>
        </w:rPr>
        <w:t>課題</w:t>
      </w:r>
      <w:r w:rsidRPr="00D6026E">
        <w:rPr>
          <w:sz w:val="21"/>
          <w:szCs w:val="21"/>
          <w:lang w:eastAsia="ja-JP"/>
        </w:rPr>
        <w:t>、実施上の課題、およびさらなる明確化が必要な分野に関する強固な証拠基盤を提供しており、草案の作成に向けた重要な参考</w:t>
      </w:r>
      <w:r w:rsidRPr="00D6026E">
        <w:rPr>
          <w:rFonts w:hint="eastAsia"/>
          <w:sz w:val="21"/>
          <w:szCs w:val="21"/>
          <w:lang w:eastAsia="ja-JP"/>
        </w:rPr>
        <w:t>資料となるべきものである。</w:t>
      </w:r>
    </w:p>
    <w:p w14:paraId="5B22937C" w14:textId="045DF7CA" w:rsidR="005C4ACE" w:rsidRPr="00D6026E" w:rsidRDefault="005C4ACE" w:rsidP="005C4ACE">
      <w:pPr>
        <w:spacing w:after="0" w:line="240" w:lineRule="auto"/>
        <w:rPr>
          <w:rFonts w:ascii="BIZ UDゴシック" w:eastAsia="BIZ UDゴシック" w:hAnsi="BIZ UDゴシック"/>
          <w:sz w:val="21"/>
          <w:szCs w:val="21"/>
          <w:lang w:eastAsia="ja-JP"/>
        </w:rPr>
      </w:pPr>
      <w:r w:rsidRPr="00D6026E">
        <w:rPr>
          <w:rFonts w:ascii="BIZ UDゴシック" w:eastAsia="BIZ UDゴシック" w:hAnsi="BIZ UDゴシック"/>
          <w:sz w:val="21"/>
          <w:szCs w:val="21"/>
          <w:lang w:eastAsia="ja-JP"/>
        </w:rPr>
        <w:t xml:space="preserve">5.   </w:t>
      </w:r>
      <w:r w:rsidR="00610EA1" w:rsidRPr="00D6026E">
        <w:rPr>
          <w:rFonts w:ascii="BIZ UDゴシック" w:eastAsia="BIZ UDゴシック" w:hAnsi="BIZ UDゴシック" w:hint="eastAsia"/>
          <w:sz w:val="21"/>
          <w:szCs w:val="21"/>
          <w:lang w:eastAsia="ja-JP"/>
        </w:rPr>
        <w:t>「高齢者の人権保障に関する米州条約」</w:t>
      </w:r>
      <w:r w:rsidRPr="00D6026E">
        <w:rPr>
          <w:rFonts w:ascii="BIZ UDゴシック" w:eastAsia="BIZ UDゴシック" w:hAnsi="BIZ UDゴシック"/>
          <w:sz w:val="21"/>
          <w:szCs w:val="21"/>
          <w:lang w:eastAsia="ja-JP"/>
        </w:rPr>
        <w:t>など、高齢者の人権に関する既存の地域的な国際法的枠組みの検討。</w:t>
      </w:r>
    </w:p>
    <w:p w14:paraId="6143FB04" w14:textId="77777777" w:rsidR="005C4ACE" w:rsidRPr="00D6026E" w:rsidRDefault="005C4ACE" w:rsidP="005C4ACE">
      <w:pPr>
        <w:spacing w:after="0" w:line="240" w:lineRule="auto"/>
        <w:rPr>
          <w:sz w:val="21"/>
          <w:szCs w:val="21"/>
          <w:lang w:eastAsia="ja-JP"/>
        </w:rPr>
      </w:pPr>
    </w:p>
    <w:p w14:paraId="42F25AF3" w14:textId="1012FC8D" w:rsidR="005C4ACE" w:rsidRPr="00D6026E" w:rsidRDefault="003D0C68" w:rsidP="005C4ACE">
      <w:pPr>
        <w:spacing w:after="0" w:line="240" w:lineRule="auto"/>
        <w:rPr>
          <w:sz w:val="21"/>
          <w:szCs w:val="21"/>
          <w:lang w:eastAsia="ja-JP"/>
        </w:rPr>
      </w:pPr>
      <w:r w:rsidRPr="00D6026E">
        <w:rPr>
          <w:rFonts w:ascii="BIZ UDゴシック" w:eastAsia="BIZ UDゴシック" w:hAnsi="BIZ UDゴシック" w:hint="eastAsia"/>
          <w:sz w:val="21"/>
          <w:szCs w:val="21"/>
          <w:lang w:eastAsia="ja-JP"/>
        </w:rPr>
        <w:t>質問</w:t>
      </w:r>
      <w:r w:rsidRPr="00D6026E">
        <w:rPr>
          <w:rFonts w:ascii="BIZ UDゴシック" w:eastAsia="BIZ UDゴシック" w:hAnsi="BIZ UDゴシック"/>
          <w:sz w:val="21"/>
          <w:szCs w:val="21"/>
          <w:lang w:eastAsia="ja-JP"/>
        </w:rPr>
        <w:t>3. 法的拘束力のある文書は、明確性と実効性を確保するために、どのような全体構成（structure）や設計枠組み（architecture）を採用すべきか？例えば、前文、定義、一般原則、一般的義務、具体的権利、および実施規定を含めるべきか？</w:t>
      </w:r>
    </w:p>
    <w:p w14:paraId="23871D12" w14:textId="77777777" w:rsidR="003D0C68" w:rsidRPr="00D6026E" w:rsidRDefault="003D0C68" w:rsidP="008B65C2">
      <w:pPr>
        <w:spacing w:after="0" w:line="240" w:lineRule="auto"/>
        <w:ind w:firstLineChars="100" w:firstLine="210"/>
        <w:rPr>
          <w:sz w:val="21"/>
          <w:szCs w:val="21"/>
          <w:lang w:eastAsia="ja-JP"/>
        </w:rPr>
      </w:pPr>
    </w:p>
    <w:p w14:paraId="669804F3" w14:textId="4BB111DF" w:rsidR="005C4ACE" w:rsidRPr="00D6026E" w:rsidRDefault="005C4ACE" w:rsidP="008B65C2">
      <w:pPr>
        <w:spacing w:after="0" w:line="240" w:lineRule="auto"/>
        <w:ind w:firstLineChars="100" w:firstLine="210"/>
        <w:rPr>
          <w:sz w:val="21"/>
          <w:szCs w:val="21"/>
          <w:lang w:eastAsia="ja-JP"/>
        </w:rPr>
      </w:pPr>
      <w:r w:rsidRPr="00D6026E">
        <w:rPr>
          <w:rFonts w:hint="eastAsia"/>
          <w:sz w:val="21"/>
          <w:szCs w:val="21"/>
          <w:lang w:eastAsia="ja-JP"/>
        </w:rPr>
        <w:t>本条約は、前文、定義、一般原則、一般的義務、具体的権利、および実施規定を含む、明確かつ首尾一貫した条約構造を採用し、基準の明文化において</w:t>
      </w:r>
      <w:r w:rsidR="008F0D86" w:rsidRPr="00D6026E">
        <w:rPr>
          <w:rFonts w:hint="eastAsia"/>
          <w:sz w:val="21"/>
          <w:szCs w:val="21"/>
          <w:lang w:eastAsia="ja-JP"/>
        </w:rPr>
        <w:t>は</w:t>
      </w:r>
      <w:r w:rsidRPr="00D6026E">
        <w:rPr>
          <w:rFonts w:hint="eastAsia"/>
          <w:sz w:val="21"/>
          <w:szCs w:val="21"/>
          <w:lang w:eastAsia="ja-JP"/>
        </w:rPr>
        <w:t>法的明確性、一貫性、および確実性を確保すべきである。また本条約に</w:t>
      </w:r>
      <w:r w:rsidR="00046A5A" w:rsidRPr="00D6026E">
        <w:rPr>
          <w:rFonts w:hint="eastAsia"/>
          <w:sz w:val="21"/>
          <w:szCs w:val="21"/>
          <w:lang w:eastAsia="ja-JP"/>
        </w:rPr>
        <w:t>含まれる</w:t>
      </w:r>
      <w:r w:rsidRPr="00D6026E">
        <w:rPr>
          <w:rFonts w:hint="eastAsia"/>
          <w:sz w:val="21"/>
          <w:szCs w:val="21"/>
          <w:lang w:eastAsia="ja-JP"/>
        </w:rPr>
        <w:t>用語</w:t>
      </w:r>
      <w:r w:rsidR="00046A5A" w:rsidRPr="00D6026E">
        <w:rPr>
          <w:rFonts w:hint="eastAsia"/>
          <w:sz w:val="21"/>
          <w:szCs w:val="21"/>
          <w:lang w:eastAsia="ja-JP"/>
        </w:rPr>
        <w:t>の</w:t>
      </w:r>
      <w:r w:rsidRPr="00D6026E">
        <w:rPr>
          <w:rFonts w:hint="eastAsia"/>
          <w:sz w:val="21"/>
          <w:szCs w:val="21"/>
          <w:lang w:eastAsia="ja-JP"/>
        </w:rPr>
        <w:t>定義を含めるべきである。</w:t>
      </w:r>
    </w:p>
    <w:p w14:paraId="7102D4F6" w14:textId="77777777" w:rsidR="005C4ACE" w:rsidRPr="00D6026E" w:rsidRDefault="005C4ACE" w:rsidP="005C4ACE">
      <w:pPr>
        <w:spacing w:after="0" w:line="240" w:lineRule="auto"/>
        <w:rPr>
          <w:sz w:val="21"/>
          <w:szCs w:val="21"/>
          <w:lang w:eastAsia="ja-JP"/>
        </w:rPr>
      </w:pPr>
    </w:p>
    <w:p w14:paraId="14B0D6C8" w14:textId="69EDF2E1" w:rsidR="005C4ACE" w:rsidRPr="00D6026E" w:rsidRDefault="005C4ACE" w:rsidP="008B65C2">
      <w:pPr>
        <w:spacing w:after="0" w:line="240" w:lineRule="auto"/>
        <w:ind w:firstLineChars="100" w:firstLine="210"/>
        <w:rPr>
          <w:sz w:val="21"/>
          <w:szCs w:val="21"/>
          <w:lang w:eastAsia="ja-JP"/>
        </w:rPr>
      </w:pPr>
      <w:r w:rsidRPr="00D6026E">
        <w:rPr>
          <w:rFonts w:hint="eastAsia"/>
          <w:sz w:val="21"/>
          <w:szCs w:val="21"/>
          <w:lang w:eastAsia="ja-JP"/>
        </w:rPr>
        <w:t>前文</w:t>
      </w:r>
      <w:r w:rsidR="00046A5A" w:rsidRPr="00D6026E">
        <w:rPr>
          <w:rFonts w:hint="eastAsia"/>
          <w:sz w:val="21"/>
          <w:szCs w:val="21"/>
          <w:lang w:eastAsia="ja-JP"/>
        </w:rPr>
        <w:t>で</w:t>
      </w:r>
      <w:r w:rsidRPr="00D6026E">
        <w:rPr>
          <w:rFonts w:hint="eastAsia"/>
          <w:sz w:val="21"/>
          <w:szCs w:val="21"/>
          <w:lang w:eastAsia="ja-JP"/>
        </w:rPr>
        <w:t>は、適切であれば、</w:t>
      </w:r>
      <w:r w:rsidR="00046A5A" w:rsidRPr="00D6026E">
        <w:rPr>
          <w:rFonts w:hint="eastAsia"/>
          <w:sz w:val="21"/>
          <w:szCs w:val="21"/>
          <w:lang w:eastAsia="ja-JP"/>
        </w:rPr>
        <w:t>関連する既存の国際的枠組みと</w:t>
      </w:r>
      <w:r w:rsidR="00900F1A" w:rsidRPr="00D6026E">
        <w:rPr>
          <w:rFonts w:hint="eastAsia"/>
          <w:sz w:val="21"/>
          <w:szCs w:val="21"/>
          <w:lang w:eastAsia="ja-JP"/>
        </w:rPr>
        <w:t>約束を想起</w:t>
      </w:r>
      <w:r w:rsidR="00AE5296" w:rsidRPr="00D6026E">
        <w:rPr>
          <w:rFonts w:hint="eastAsia"/>
          <w:sz w:val="21"/>
          <w:szCs w:val="21"/>
          <w:lang w:eastAsia="ja-JP"/>
        </w:rPr>
        <w:t>することで</w:t>
      </w:r>
      <w:r w:rsidR="00900F1A" w:rsidRPr="00D6026E">
        <w:rPr>
          <w:rFonts w:hint="eastAsia"/>
          <w:sz w:val="21"/>
          <w:szCs w:val="21"/>
          <w:lang w:eastAsia="ja-JP"/>
        </w:rPr>
        <w:t>、</w:t>
      </w:r>
      <w:r w:rsidR="00900F1A" w:rsidRPr="00D6026E">
        <w:rPr>
          <w:sz w:val="21"/>
          <w:szCs w:val="21"/>
          <w:lang w:eastAsia="ja-JP"/>
        </w:rPr>
        <w:t>草案をより広範な規範的文脈</w:t>
      </w:r>
      <w:r w:rsidR="00C9782E" w:rsidRPr="00D6026E">
        <w:rPr>
          <w:rFonts w:hint="eastAsia"/>
          <w:sz w:val="21"/>
          <w:szCs w:val="21"/>
          <w:lang w:eastAsia="ja-JP"/>
        </w:rPr>
        <w:t>の中</w:t>
      </w:r>
      <w:r w:rsidR="00900F1A" w:rsidRPr="00D6026E">
        <w:rPr>
          <w:sz w:val="21"/>
          <w:szCs w:val="21"/>
          <w:lang w:eastAsia="ja-JP"/>
        </w:rPr>
        <w:t>に位置づけることができる</w:t>
      </w:r>
      <w:r w:rsidR="00AE5296" w:rsidRPr="00D6026E">
        <w:rPr>
          <w:rFonts w:hint="eastAsia"/>
          <w:sz w:val="21"/>
          <w:szCs w:val="21"/>
          <w:lang w:eastAsia="ja-JP"/>
        </w:rPr>
        <w:t>だろう</w:t>
      </w:r>
      <w:r w:rsidR="00900F1A" w:rsidRPr="00D6026E">
        <w:rPr>
          <w:sz w:val="21"/>
          <w:szCs w:val="21"/>
          <w:lang w:eastAsia="ja-JP"/>
        </w:rPr>
        <w:t>。</w:t>
      </w:r>
      <w:r w:rsidR="00900F1A" w:rsidRPr="00D6026E">
        <w:rPr>
          <w:rFonts w:hint="eastAsia"/>
          <w:sz w:val="21"/>
          <w:szCs w:val="21"/>
          <w:lang w:eastAsia="ja-JP"/>
        </w:rPr>
        <w:t>例えば、</w:t>
      </w:r>
      <w:r w:rsidRPr="00D6026E">
        <w:rPr>
          <w:rFonts w:hint="eastAsia"/>
          <w:sz w:val="21"/>
          <w:szCs w:val="21"/>
          <w:lang w:eastAsia="ja-JP"/>
        </w:rPr>
        <w:t>持続可能な開発のための</w:t>
      </w:r>
      <w:r w:rsidRPr="00D6026E">
        <w:rPr>
          <w:sz w:val="21"/>
          <w:szCs w:val="21"/>
          <w:lang w:eastAsia="ja-JP"/>
        </w:rPr>
        <w:t>2030アジェンダ</w:t>
      </w:r>
      <w:r w:rsidR="00900F1A" w:rsidRPr="00D6026E">
        <w:rPr>
          <w:rFonts w:hint="eastAsia"/>
          <w:sz w:val="21"/>
          <w:szCs w:val="21"/>
          <w:lang w:eastAsia="ja-JP"/>
        </w:rPr>
        <w:t>；</w:t>
      </w:r>
      <w:r w:rsidR="00C9782E" w:rsidRPr="00D6026E">
        <w:rPr>
          <w:rFonts w:hint="eastAsia"/>
          <w:sz w:val="21"/>
          <w:szCs w:val="21"/>
          <w:lang w:eastAsia="ja-JP"/>
        </w:rPr>
        <w:t>第2回高齢化世界会議</w:t>
      </w:r>
      <w:r w:rsidRPr="00D6026E">
        <w:rPr>
          <w:sz w:val="21"/>
          <w:szCs w:val="21"/>
          <w:lang w:eastAsia="ja-JP"/>
        </w:rPr>
        <w:t>の成果</w:t>
      </w:r>
      <w:r w:rsidR="00900F1A" w:rsidRPr="00D6026E">
        <w:rPr>
          <w:rFonts w:hint="eastAsia"/>
          <w:sz w:val="21"/>
          <w:szCs w:val="21"/>
          <w:lang w:eastAsia="ja-JP"/>
        </w:rPr>
        <w:t>；</w:t>
      </w:r>
      <w:r w:rsidRPr="00D6026E">
        <w:rPr>
          <w:sz w:val="21"/>
          <w:szCs w:val="21"/>
          <w:lang w:eastAsia="ja-JP"/>
        </w:rPr>
        <w:t xml:space="preserve"> 経済的、社会的及び文化的権利に関する国際規約；</w:t>
      </w:r>
      <w:r w:rsidR="00C9782E" w:rsidRPr="00D6026E">
        <w:rPr>
          <w:rFonts w:hint="eastAsia"/>
          <w:sz w:val="21"/>
          <w:szCs w:val="21"/>
          <w:lang w:eastAsia="ja-JP"/>
        </w:rPr>
        <w:t>障害のある人の権利条約</w:t>
      </w:r>
      <w:r w:rsidRPr="00D6026E">
        <w:rPr>
          <w:sz w:val="21"/>
          <w:szCs w:val="21"/>
          <w:lang w:eastAsia="ja-JP"/>
        </w:rPr>
        <w:t>；国連</w:t>
      </w:r>
      <w:r w:rsidR="00900F1A" w:rsidRPr="00D6026E">
        <w:rPr>
          <w:rFonts w:hint="eastAsia"/>
          <w:sz w:val="21"/>
          <w:szCs w:val="21"/>
          <w:lang w:eastAsia="ja-JP"/>
        </w:rPr>
        <w:t>健康な高齢化の</w:t>
      </w:r>
      <w:r w:rsidR="00900F1A" w:rsidRPr="00D6026E">
        <w:rPr>
          <w:sz w:val="21"/>
          <w:szCs w:val="21"/>
          <w:lang w:eastAsia="ja-JP"/>
        </w:rPr>
        <w:t>10年</w:t>
      </w:r>
      <w:r w:rsidRPr="00D6026E">
        <w:rPr>
          <w:sz w:val="21"/>
          <w:szCs w:val="21"/>
          <w:lang w:eastAsia="ja-JP"/>
        </w:rPr>
        <w:t>（2021-2030）；その他の確立された参照事項</w:t>
      </w:r>
      <w:r w:rsidR="00900F1A" w:rsidRPr="00D6026E">
        <w:rPr>
          <w:rFonts w:hint="eastAsia"/>
          <w:sz w:val="21"/>
          <w:szCs w:val="21"/>
          <w:lang w:eastAsia="ja-JP"/>
        </w:rPr>
        <w:t>である。</w:t>
      </w:r>
    </w:p>
    <w:p w14:paraId="5F2C8268" w14:textId="77777777" w:rsidR="005C4ACE" w:rsidRPr="00D6026E" w:rsidRDefault="005C4ACE" w:rsidP="005C4ACE">
      <w:pPr>
        <w:spacing w:after="0" w:line="240" w:lineRule="auto"/>
        <w:rPr>
          <w:sz w:val="21"/>
          <w:szCs w:val="21"/>
          <w:lang w:eastAsia="ja-JP"/>
        </w:rPr>
      </w:pPr>
    </w:p>
    <w:p w14:paraId="4993C21F" w14:textId="4A8C6E7C" w:rsidR="005C4ACE" w:rsidRPr="00D6026E" w:rsidRDefault="005C4ACE" w:rsidP="008B65C2">
      <w:pPr>
        <w:spacing w:after="0" w:line="240" w:lineRule="auto"/>
        <w:ind w:firstLineChars="100" w:firstLine="210"/>
        <w:rPr>
          <w:sz w:val="21"/>
          <w:szCs w:val="21"/>
          <w:lang w:eastAsia="ja-JP"/>
        </w:rPr>
      </w:pPr>
      <w:r w:rsidRPr="00D6026E">
        <w:rPr>
          <w:rFonts w:hint="eastAsia"/>
          <w:sz w:val="21"/>
          <w:szCs w:val="21"/>
          <w:lang w:eastAsia="ja-JP"/>
        </w:rPr>
        <w:t>実施に関する規定は、</w:t>
      </w:r>
      <w:r w:rsidR="00900F1A" w:rsidRPr="00D6026E">
        <w:rPr>
          <w:rFonts w:hint="eastAsia"/>
          <w:sz w:val="21"/>
          <w:szCs w:val="21"/>
          <w:lang w:eastAsia="ja-JP"/>
        </w:rPr>
        <w:t>既存の国際人権システムの中で効率的かつ首尾一貫したものであるべきである。</w:t>
      </w:r>
      <w:r w:rsidRPr="00D6026E">
        <w:rPr>
          <w:rFonts w:hint="eastAsia"/>
          <w:sz w:val="21"/>
          <w:szCs w:val="21"/>
          <w:lang w:eastAsia="ja-JP"/>
        </w:rPr>
        <w:t>国内における実施および監視に関する規定や、実施を監督する</w:t>
      </w:r>
      <w:r w:rsidR="00900F1A" w:rsidRPr="00D6026E">
        <w:rPr>
          <w:rFonts w:hint="eastAsia"/>
          <w:sz w:val="21"/>
          <w:szCs w:val="21"/>
          <w:lang w:eastAsia="ja-JP"/>
        </w:rPr>
        <w:t>仕組み</w:t>
      </w:r>
      <w:r w:rsidRPr="00D6026E">
        <w:rPr>
          <w:rFonts w:hint="eastAsia"/>
          <w:sz w:val="21"/>
          <w:szCs w:val="21"/>
          <w:lang w:eastAsia="ja-JP"/>
        </w:rPr>
        <w:t>または委員会の設置、ならびに総会および経済社会理事会への適切な報告など</w:t>
      </w:r>
      <w:r w:rsidR="00900F1A" w:rsidRPr="00D6026E">
        <w:rPr>
          <w:rFonts w:hint="eastAsia"/>
          <w:sz w:val="21"/>
          <w:szCs w:val="21"/>
          <w:lang w:eastAsia="ja-JP"/>
        </w:rPr>
        <w:t>が含まれる。</w:t>
      </w:r>
    </w:p>
    <w:p w14:paraId="38610CEE" w14:textId="77777777" w:rsidR="005C4ACE" w:rsidRPr="00D6026E" w:rsidRDefault="005C4ACE" w:rsidP="005C4ACE">
      <w:pPr>
        <w:spacing w:after="0" w:line="240" w:lineRule="auto"/>
        <w:rPr>
          <w:sz w:val="21"/>
          <w:szCs w:val="21"/>
          <w:lang w:eastAsia="ja-JP"/>
        </w:rPr>
      </w:pPr>
    </w:p>
    <w:p w14:paraId="71D0D83E" w14:textId="6541DDDC" w:rsidR="005C4ACE" w:rsidRPr="00D6026E" w:rsidRDefault="005C4ACE" w:rsidP="008B65C2">
      <w:pPr>
        <w:spacing w:after="0" w:line="240" w:lineRule="auto"/>
        <w:ind w:firstLineChars="100" w:firstLine="210"/>
        <w:rPr>
          <w:sz w:val="21"/>
          <w:szCs w:val="21"/>
          <w:lang w:eastAsia="ja-JP"/>
        </w:rPr>
      </w:pPr>
      <w:r w:rsidRPr="00D6026E">
        <w:rPr>
          <w:rFonts w:hint="eastAsia"/>
          <w:sz w:val="21"/>
          <w:szCs w:val="21"/>
          <w:lang w:eastAsia="ja-JP"/>
        </w:rPr>
        <w:t>本</w:t>
      </w:r>
      <w:r w:rsidR="00BC4EB2" w:rsidRPr="00D6026E">
        <w:rPr>
          <w:rFonts w:hint="eastAsia"/>
          <w:sz w:val="21"/>
          <w:szCs w:val="21"/>
          <w:lang w:eastAsia="ja-JP"/>
        </w:rPr>
        <w:t>条約</w:t>
      </w:r>
      <w:r w:rsidRPr="00D6026E">
        <w:rPr>
          <w:rFonts w:hint="eastAsia"/>
          <w:sz w:val="21"/>
          <w:szCs w:val="21"/>
          <w:lang w:eastAsia="ja-JP"/>
        </w:rPr>
        <w:t>において、「高齢者」とは、</w:t>
      </w:r>
      <w:r w:rsidR="00BC4EB2" w:rsidRPr="00D6026E">
        <w:rPr>
          <w:rFonts w:hint="eastAsia"/>
          <w:sz w:val="21"/>
          <w:szCs w:val="21"/>
          <w:lang w:eastAsia="ja-JP"/>
        </w:rPr>
        <w:t>統計の</w:t>
      </w:r>
      <w:r w:rsidRPr="00D6026E">
        <w:rPr>
          <w:rFonts w:hint="eastAsia"/>
          <w:sz w:val="21"/>
          <w:szCs w:val="21"/>
          <w:lang w:eastAsia="ja-JP"/>
        </w:rPr>
        <w:t>国際比較</w:t>
      </w:r>
      <w:r w:rsidR="00BC4EB2" w:rsidRPr="00D6026E">
        <w:rPr>
          <w:rFonts w:hint="eastAsia"/>
          <w:sz w:val="21"/>
          <w:szCs w:val="21"/>
          <w:lang w:eastAsia="ja-JP"/>
        </w:rPr>
        <w:t>や</w:t>
      </w:r>
      <w:r w:rsidRPr="00D6026E">
        <w:rPr>
          <w:rFonts w:hint="eastAsia"/>
          <w:sz w:val="21"/>
          <w:szCs w:val="21"/>
          <w:lang w:eastAsia="ja-JP"/>
        </w:rPr>
        <w:t>政策の一貫性を図るため、例えば</w:t>
      </w:r>
      <w:r w:rsidRPr="00D6026E">
        <w:rPr>
          <w:sz w:val="21"/>
          <w:szCs w:val="21"/>
          <w:lang w:eastAsia="ja-JP"/>
        </w:rPr>
        <w:t>60歳以上の人々と定義することができる。ただし、高齢化は動的かつ文脈に依存するプロセスであることを認識する。各国は、自国の状況および国際的義務に従い、適切な年齢基準を定めることができ、その基準はこれより低くても高くてもよい。</w:t>
      </w:r>
    </w:p>
    <w:p w14:paraId="7404B649" w14:textId="77777777" w:rsidR="005C4ACE" w:rsidRPr="00D6026E" w:rsidRDefault="005C4ACE" w:rsidP="005C4ACE">
      <w:pPr>
        <w:spacing w:after="0" w:line="240" w:lineRule="auto"/>
        <w:rPr>
          <w:sz w:val="21"/>
          <w:szCs w:val="21"/>
          <w:lang w:eastAsia="ja-JP"/>
        </w:rPr>
      </w:pPr>
    </w:p>
    <w:p w14:paraId="3D9F2D7A" w14:textId="211BB079" w:rsidR="005C4ACE" w:rsidRPr="00D6026E" w:rsidRDefault="005C4ACE" w:rsidP="008B65C2">
      <w:pPr>
        <w:spacing w:after="0" w:line="240" w:lineRule="auto"/>
        <w:ind w:firstLineChars="100" w:firstLine="210"/>
        <w:rPr>
          <w:sz w:val="18"/>
          <w:szCs w:val="18"/>
          <w:lang w:eastAsia="ja-JP"/>
        </w:rPr>
      </w:pPr>
      <w:r w:rsidRPr="00D6026E">
        <w:rPr>
          <w:rFonts w:hint="eastAsia"/>
          <w:sz w:val="21"/>
          <w:szCs w:val="21"/>
          <w:lang w:eastAsia="ja-JP"/>
        </w:rPr>
        <w:t>「高齢者」の定義は、共通の理解を促進するため、必要に応じて、</w:t>
      </w:r>
      <w:r w:rsidR="00BC4EB2" w:rsidRPr="00D6026E">
        <w:rPr>
          <w:sz w:val="21"/>
          <w:szCs w:val="21"/>
          <w:lang w:eastAsia="ja-JP"/>
        </w:rPr>
        <w:t>関連する国際的な統計・分析作業を踏まえて策定されるべきである。</w:t>
      </w:r>
      <w:r w:rsidR="00BC4EB2" w:rsidRPr="00D6026E">
        <w:rPr>
          <w:rFonts w:hint="eastAsia"/>
          <w:sz w:val="21"/>
          <w:szCs w:val="21"/>
          <w:lang w:eastAsia="ja-JP"/>
        </w:rPr>
        <w:t>そこには、</w:t>
      </w:r>
      <w:r w:rsidRPr="00D6026E">
        <w:rPr>
          <w:rFonts w:hint="eastAsia"/>
          <w:sz w:val="21"/>
          <w:szCs w:val="21"/>
          <w:lang w:eastAsia="ja-JP"/>
        </w:rPr>
        <w:t>ティッチフィールド・シティ・グループ（</w:t>
      </w:r>
      <w:r w:rsidRPr="00D6026E">
        <w:rPr>
          <w:sz w:val="21"/>
          <w:szCs w:val="21"/>
          <w:lang w:eastAsia="ja-JP"/>
        </w:rPr>
        <w:t>Titchfield City Group）による高齢化および年齢別データに関する取り組み</w:t>
      </w:r>
      <w:r w:rsidR="00BC4EB2" w:rsidRPr="00D6026E">
        <w:rPr>
          <w:rFonts w:hint="eastAsia"/>
          <w:sz w:val="21"/>
          <w:szCs w:val="21"/>
          <w:lang w:eastAsia="ja-JP"/>
        </w:rPr>
        <w:t>が含まれる。</w:t>
      </w:r>
      <w:r w:rsidR="007E4C02" w:rsidRPr="00D6026E">
        <w:rPr>
          <w:rFonts w:hint="eastAsia"/>
          <w:sz w:val="18"/>
          <w:szCs w:val="18"/>
          <w:lang w:eastAsia="ja-JP"/>
        </w:rPr>
        <w:t xml:space="preserve">（訳注　</w:t>
      </w:r>
      <w:r w:rsidR="007E4C02" w:rsidRPr="00D6026E">
        <w:rPr>
          <w:sz w:val="18"/>
          <w:szCs w:val="18"/>
          <w:lang w:eastAsia="ja-JP"/>
        </w:rPr>
        <w:t xml:space="preserve"> ティッチフィールド（Titchfield）はイングランドの村。ティッチフィールド・シティ・グループは、国連統計委員会のもとに2018年に設立された高齢者統計に関する専門家グループ。テーマ別の各種統計グループがあり、最初に会議がもたれた都市の名前を冠する慣例とされる。）</w:t>
      </w:r>
    </w:p>
    <w:p w14:paraId="4225C7F9" w14:textId="77777777" w:rsidR="007E4C02" w:rsidRPr="00D6026E" w:rsidRDefault="007E4C02" w:rsidP="008B65C2">
      <w:pPr>
        <w:spacing w:after="0" w:line="240" w:lineRule="auto"/>
        <w:ind w:firstLineChars="100" w:firstLine="210"/>
        <w:rPr>
          <w:sz w:val="21"/>
          <w:szCs w:val="21"/>
          <w:lang w:eastAsia="ja-JP"/>
        </w:rPr>
      </w:pPr>
    </w:p>
    <w:p w14:paraId="42C7D2C5" w14:textId="159BF735" w:rsidR="008B65C2" w:rsidRPr="00D6026E" w:rsidRDefault="008B65C2" w:rsidP="008B65C2">
      <w:pPr>
        <w:spacing w:after="0" w:line="240" w:lineRule="auto"/>
        <w:ind w:firstLineChars="100" w:firstLine="210"/>
        <w:jc w:val="right"/>
        <w:rPr>
          <w:sz w:val="21"/>
          <w:szCs w:val="21"/>
          <w:lang w:eastAsia="ja-JP"/>
        </w:rPr>
      </w:pPr>
      <w:bookmarkStart w:id="0" w:name="_Hlk229774451"/>
      <w:r w:rsidRPr="00D6026E">
        <w:rPr>
          <w:rFonts w:hint="eastAsia"/>
          <w:sz w:val="21"/>
          <w:szCs w:val="21"/>
          <w:lang w:eastAsia="ja-JP"/>
        </w:rPr>
        <w:t>（翻訳・佐藤久夫、</w:t>
      </w:r>
      <w:r w:rsidR="00836C07" w:rsidRPr="00D6026E">
        <w:rPr>
          <w:rFonts w:hint="eastAsia"/>
          <w:sz w:val="21"/>
          <w:szCs w:val="21"/>
          <w:lang w:eastAsia="ja-JP"/>
        </w:rPr>
        <w:t>高田清恵</w:t>
      </w:r>
      <w:r w:rsidRPr="00D6026E">
        <w:rPr>
          <w:rFonts w:hint="eastAsia"/>
          <w:sz w:val="21"/>
          <w:szCs w:val="21"/>
          <w:lang w:eastAsia="ja-JP"/>
        </w:rPr>
        <w:t>）</w:t>
      </w:r>
      <w:bookmarkEnd w:id="0"/>
    </w:p>
    <w:sectPr w:rsidR="008B65C2" w:rsidRPr="00D6026E" w:rsidSect="006A05DC">
      <w:footerReference w:type="even" r:id="rId12"/>
      <w:footerReference w:type="default" r:id="rId13"/>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26DA" w14:textId="77777777" w:rsidR="00D22BA4" w:rsidRDefault="00D22BA4" w:rsidP="005C4ACE">
      <w:pPr>
        <w:spacing w:after="0" w:line="240" w:lineRule="auto"/>
      </w:pPr>
      <w:r>
        <w:separator/>
      </w:r>
    </w:p>
  </w:endnote>
  <w:endnote w:type="continuationSeparator" w:id="0">
    <w:p w14:paraId="4D0D88C6" w14:textId="77777777" w:rsidR="00D22BA4" w:rsidRDefault="00D22BA4" w:rsidP="005C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518617"/>
      <w:docPartObj>
        <w:docPartGallery w:val="Page Numbers (Bottom of Page)"/>
        <w:docPartUnique/>
      </w:docPartObj>
    </w:sdtPr>
    <w:sdtEndPr/>
    <w:sdtContent>
      <w:p w14:paraId="4361D0AE" w14:textId="10524FA7" w:rsidR="005C4ACE" w:rsidRDefault="005C4ACE">
        <w:pPr>
          <w:pStyle w:val="ad"/>
        </w:pPr>
        <w:r>
          <w:fldChar w:fldCharType="begin"/>
        </w:r>
        <w:r>
          <w:instrText>PAGE   \* MERGEFORMAT</w:instrText>
        </w:r>
        <w:r>
          <w:fldChar w:fldCharType="separate"/>
        </w:r>
        <w:r>
          <w:rPr>
            <w:lang w:val="ja-JP" w:eastAsia="ja-JP"/>
          </w:rPr>
          <w:t>2</w:t>
        </w:r>
        <w:r>
          <w:fldChar w:fldCharType="end"/>
        </w:r>
      </w:p>
    </w:sdtContent>
  </w:sdt>
  <w:p w14:paraId="01B27134" w14:textId="77777777" w:rsidR="005C4ACE" w:rsidRDefault="005C4AC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575037"/>
      <w:docPartObj>
        <w:docPartGallery w:val="Page Numbers (Bottom of Page)"/>
        <w:docPartUnique/>
      </w:docPartObj>
    </w:sdtPr>
    <w:sdtEndPr/>
    <w:sdtContent>
      <w:p w14:paraId="5798126E" w14:textId="4D5A5C84" w:rsidR="005C4ACE" w:rsidRDefault="005C4ACE">
        <w:pPr>
          <w:pStyle w:val="ad"/>
        </w:pPr>
        <w:r>
          <w:fldChar w:fldCharType="begin"/>
        </w:r>
        <w:r>
          <w:instrText>PAGE   \* MERGEFORMAT</w:instrText>
        </w:r>
        <w:r>
          <w:fldChar w:fldCharType="separate"/>
        </w:r>
        <w:r>
          <w:rPr>
            <w:lang w:val="ja-JP" w:eastAsia="ja-JP"/>
          </w:rPr>
          <w:t>2</w:t>
        </w:r>
        <w:r>
          <w:fldChar w:fldCharType="end"/>
        </w:r>
      </w:p>
    </w:sdtContent>
  </w:sdt>
  <w:p w14:paraId="2B3C031D" w14:textId="77777777" w:rsidR="005C4ACE" w:rsidRDefault="005C4AC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2867" w14:textId="77777777" w:rsidR="00D22BA4" w:rsidRDefault="00D22BA4" w:rsidP="005C4ACE">
      <w:pPr>
        <w:spacing w:after="0" w:line="240" w:lineRule="auto"/>
      </w:pPr>
      <w:r>
        <w:separator/>
      </w:r>
    </w:p>
  </w:footnote>
  <w:footnote w:type="continuationSeparator" w:id="0">
    <w:p w14:paraId="5E120C76" w14:textId="77777777" w:rsidR="00D22BA4" w:rsidRDefault="00D22BA4" w:rsidP="005C4A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CE"/>
    <w:rsid w:val="0000785B"/>
    <w:rsid w:val="0002337C"/>
    <w:rsid w:val="00046A5A"/>
    <w:rsid w:val="00055BA8"/>
    <w:rsid w:val="00074B0F"/>
    <w:rsid w:val="000B2AFD"/>
    <w:rsid w:val="000C44FC"/>
    <w:rsid w:val="000E0BBD"/>
    <w:rsid w:val="00140411"/>
    <w:rsid w:val="001479DB"/>
    <w:rsid w:val="00152B39"/>
    <w:rsid w:val="001A6937"/>
    <w:rsid w:val="001B42DE"/>
    <w:rsid w:val="001D1754"/>
    <w:rsid w:val="0027658B"/>
    <w:rsid w:val="00287954"/>
    <w:rsid w:val="002D2370"/>
    <w:rsid w:val="003126F0"/>
    <w:rsid w:val="00331F44"/>
    <w:rsid w:val="003324C1"/>
    <w:rsid w:val="00355E84"/>
    <w:rsid w:val="003720A1"/>
    <w:rsid w:val="00380909"/>
    <w:rsid w:val="003A040B"/>
    <w:rsid w:val="003A6E34"/>
    <w:rsid w:val="003A7A7F"/>
    <w:rsid w:val="003D0C68"/>
    <w:rsid w:val="003D441D"/>
    <w:rsid w:val="00444639"/>
    <w:rsid w:val="004D0453"/>
    <w:rsid w:val="005A00C3"/>
    <w:rsid w:val="005C4ACE"/>
    <w:rsid w:val="006005A7"/>
    <w:rsid w:val="00604300"/>
    <w:rsid w:val="00610EA1"/>
    <w:rsid w:val="00692D7C"/>
    <w:rsid w:val="006A05DC"/>
    <w:rsid w:val="006D745A"/>
    <w:rsid w:val="007537A5"/>
    <w:rsid w:val="007B021E"/>
    <w:rsid w:val="007E4C02"/>
    <w:rsid w:val="00836C07"/>
    <w:rsid w:val="00865795"/>
    <w:rsid w:val="008A042A"/>
    <w:rsid w:val="008B65C2"/>
    <w:rsid w:val="008C5480"/>
    <w:rsid w:val="008D0CBA"/>
    <w:rsid w:val="008F0D86"/>
    <w:rsid w:val="00900F1A"/>
    <w:rsid w:val="0095791D"/>
    <w:rsid w:val="00965AE8"/>
    <w:rsid w:val="009A7791"/>
    <w:rsid w:val="009B522E"/>
    <w:rsid w:val="009D1DF9"/>
    <w:rsid w:val="009F628B"/>
    <w:rsid w:val="00A56E0A"/>
    <w:rsid w:val="00AE5296"/>
    <w:rsid w:val="00AF582A"/>
    <w:rsid w:val="00AF60BE"/>
    <w:rsid w:val="00B172F8"/>
    <w:rsid w:val="00B37471"/>
    <w:rsid w:val="00BC4EB2"/>
    <w:rsid w:val="00BF74F2"/>
    <w:rsid w:val="00C45FD8"/>
    <w:rsid w:val="00C9590D"/>
    <w:rsid w:val="00C9782E"/>
    <w:rsid w:val="00CB27FB"/>
    <w:rsid w:val="00D22BA4"/>
    <w:rsid w:val="00D6026E"/>
    <w:rsid w:val="00D607D8"/>
    <w:rsid w:val="00DB66FF"/>
    <w:rsid w:val="00E002AA"/>
    <w:rsid w:val="00E84A5E"/>
    <w:rsid w:val="00E91694"/>
    <w:rsid w:val="00EA0906"/>
    <w:rsid w:val="00EE5717"/>
    <w:rsid w:val="00F244AE"/>
    <w:rsid w:val="00F57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91CFA5"/>
  <w15:chartTrackingRefBased/>
  <w15:docId w15:val="{66BBF1F8-D123-41C5-AE73-B5AE0B93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ACE"/>
    <w:pPr>
      <w:spacing w:after="160" w:line="278" w:lineRule="auto"/>
    </w:pPr>
    <w:rPr>
      <w:sz w:val="24"/>
      <w:szCs w:val="24"/>
    </w:rPr>
  </w:style>
  <w:style w:type="paragraph" w:styleId="1">
    <w:name w:val="heading 1"/>
    <w:basedOn w:val="a"/>
    <w:next w:val="a"/>
    <w:link w:val="10"/>
    <w:uiPriority w:val="9"/>
    <w:qFormat/>
    <w:rsid w:val="005C4A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4A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4AC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C4A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4A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4A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4A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4A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4A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4A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4A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4A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C4A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4A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4A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4A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4A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4A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4A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4A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A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4A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ACE"/>
    <w:pPr>
      <w:spacing w:before="160"/>
      <w:jc w:val="center"/>
    </w:pPr>
    <w:rPr>
      <w:i/>
      <w:iCs/>
      <w:color w:val="404040" w:themeColor="text1" w:themeTint="BF"/>
    </w:rPr>
  </w:style>
  <w:style w:type="character" w:customStyle="1" w:styleId="a8">
    <w:name w:val="引用文 (文字)"/>
    <w:basedOn w:val="a0"/>
    <w:link w:val="a7"/>
    <w:uiPriority w:val="29"/>
    <w:rsid w:val="005C4ACE"/>
    <w:rPr>
      <w:i/>
      <w:iCs/>
      <w:color w:val="404040" w:themeColor="text1" w:themeTint="BF"/>
    </w:rPr>
  </w:style>
  <w:style w:type="paragraph" w:styleId="a9">
    <w:name w:val="List Paragraph"/>
    <w:basedOn w:val="a"/>
    <w:uiPriority w:val="34"/>
    <w:qFormat/>
    <w:rsid w:val="005C4ACE"/>
    <w:pPr>
      <w:ind w:left="720"/>
      <w:contextualSpacing/>
    </w:pPr>
  </w:style>
  <w:style w:type="character" w:styleId="21">
    <w:name w:val="Intense Emphasis"/>
    <w:basedOn w:val="a0"/>
    <w:uiPriority w:val="21"/>
    <w:qFormat/>
    <w:rsid w:val="005C4ACE"/>
    <w:rPr>
      <w:i/>
      <w:iCs/>
      <w:color w:val="2F5496" w:themeColor="accent1" w:themeShade="BF"/>
    </w:rPr>
  </w:style>
  <w:style w:type="paragraph" w:styleId="22">
    <w:name w:val="Intense Quote"/>
    <w:basedOn w:val="a"/>
    <w:next w:val="a"/>
    <w:link w:val="23"/>
    <w:uiPriority w:val="30"/>
    <w:qFormat/>
    <w:rsid w:val="005C4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C4ACE"/>
    <w:rPr>
      <w:i/>
      <w:iCs/>
      <w:color w:val="2F5496" w:themeColor="accent1" w:themeShade="BF"/>
    </w:rPr>
  </w:style>
  <w:style w:type="character" w:styleId="24">
    <w:name w:val="Intense Reference"/>
    <w:basedOn w:val="a0"/>
    <w:uiPriority w:val="32"/>
    <w:qFormat/>
    <w:rsid w:val="005C4ACE"/>
    <w:rPr>
      <w:b/>
      <w:bCs/>
      <w:smallCaps/>
      <w:color w:val="2F5496" w:themeColor="accent1" w:themeShade="BF"/>
      <w:spacing w:val="5"/>
    </w:rPr>
  </w:style>
  <w:style w:type="table" w:styleId="aa">
    <w:name w:val="Table Grid"/>
    <w:basedOn w:val="a1"/>
    <w:uiPriority w:val="39"/>
    <w:rsid w:val="005C4ACE"/>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C4ACE"/>
    <w:pPr>
      <w:tabs>
        <w:tab w:val="center" w:pos="4252"/>
        <w:tab w:val="right" w:pos="8504"/>
      </w:tabs>
      <w:snapToGrid w:val="0"/>
    </w:pPr>
  </w:style>
  <w:style w:type="character" w:customStyle="1" w:styleId="ac">
    <w:name w:val="ヘッダー (文字)"/>
    <w:basedOn w:val="a0"/>
    <w:link w:val="ab"/>
    <w:uiPriority w:val="99"/>
    <w:rsid w:val="005C4ACE"/>
    <w:rPr>
      <w:sz w:val="24"/>
      <w:szCs w:val="24"/>
    </w:rPr>
  </w:style>
  <w:style w:type="paragraph" w:styleId="ad">
    <w:name w:val="footer"/>
    <w:basedOn w:val="a"/>
    <w:link w:val="ae"/>
    <w:uiPriority w:val="99"/>
    <w:unhideWhenUsed/>
    <w:rsid w:val="005C4ACE"/>
    <w:pPr>
      <w:tabs>
        <w:tab w:val="center" w:pos="4252"/>
        <w:tab w:val="right" w:pos="8504"/>
      </w:tabs>
      <w:snapToGrid w:val="0"/>
    </w:pPr>
  </w:style>
  <w:style w:type="character" w:customStyle="1" w:styleId="ae">
    <w:name w:val="フッター (文字)"/>
    <w:basedOn w:val="a0"/>
    <w:link w:val="ad"/>
    <w:uiPriority w:val="99"/>
    <w:rsid w:val="005C4ACE"/>
    <w:rPr>
      <w:sz w:val="24"/>
      <w:szCs w:val="24"/>
    </w:rPr>
  </w:style>
  <w:style w:type="paragraph" w:styleId="af">
    <w:name w:val="Date"/>
    <w:basedOn w:val="a"/>
    <w:next w:val="a"/>
    <w:link w:val="af0"/>
    <w:uiPriority w:val="99"/>
    <w:semiHidden/>
    <w:unhideWhenUsed/>
    <w:rsid w:val="00C9590D"/>
  </w:style>
  <w:style w:type="character" w:customStyle="1" w:styleId="af0">
    <w:name w:val="日付 (文字)"/>
    <w:basedOn w:val="a0"/>
    <w:link w:val="af"/>
    <w:uiPriority w:val="99"/>
    <w:semiHidden/>
    <w:rsid w:val="00C9590D"/>
    <w:rPr>
      <w:sz w:val="24"/>
      <w:szCs w:val="24"/>
    </w:rPr>
  </w:style>
  <w:style w:type="character" w:styleId="af1">
    <w:name w:val="annotation reference"/>
    <w:basedOn w:val="a0"/>
    <w:uiPriority w:val="99"/>
    <w:semiHidden/>
    <w:unhideWhenUsed/>
    <w:rsid w:val="00BF74F2"/>
    <w:rPr>
      <w:sz w:val="18"/>
      <w:szCs w:val="18"/>
    </w:rPr>
  </w:style>
  <w:style w:type="paragraph" w:styleId="af2">
    <w:name w:val="annotation text"/>
    <w:basedOn w:val="a"/>
    <w:link w:val="af3"/>
    <w:uiPriority w:val="99"/>
    <w:unhideWhenUsed/>
    <w:rsid w:val="00BF74F2"/>
  </w:style>
  <w:style w:type="character" w:customStyle="1" w:styleId="af3">
    <w:name w:val="コメント文字列 (文字)"/>
    <w:basedOn w:val="a0"/>
    <w:link w:val="af2"/>
    <w:uiPriority w:val="99"/>
    <w:rsid w:val="00BF74F2"/>
    <w:rPr>
      <w:sz w:val="24"/>
      <w:szCs w:val="24"/>
    </w:rPr>
  </w:style>
  <w:style w:type="paragraph" w:styleId="af4">
    <w:name w:val="annotation subject"/>
    <w:basedOn w:val="af2"/>
    <w:next w:val="af2"/>
    <w:link w:val="af5"/>
    <w:uiPriority w:val="99"/>
    <w:semiHidden/>
    <w:unhideWhenUsed/>
    <w:rsid w:val="00BF74F2"/>
    <w:rPr>
      <w:b/>
      <w:bCs/>
    </w:rPr>
  </w:style>
  <w:style w:type="character" w:customStyle="1" w:styleId="af5">
    <w:name w:val="コメント内容 (文字)"/>
    <w:basedOn w:val="af3"/>
    <w:link w:val="af4"/>
    <w:uiPriority w:val="99"/>
    <w:semiHidden/>
    <w:rsid w:val="00BF74F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598</Words>
  <Characters>3413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cp:lastPrinted>2026-05-15T06:18:00Z</cp:lastPrinted>
  <dcterms:created xsi:type="dcterms:W3CDTF">2026-07-01T08:38:00Z</dcterms:created>
  <dcterms:modified xsi:type="dcterms:W3CDTF">2026-07-01T08:38:00Z</dcterms:modified>
</cp:coreProperties>
</file>