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6891" w14:textId="77777777" w:rsidR="00286DF2" w:rsidRDefault="00AD6463" w:rsidP="00286DF2">
      <w:pPr>
        <w:pStyle w:val="Web"/>
        <w:spacing w:before="0" w:beforeAutospacing="0" w:after="0" w:afterAutospacing="0"/>
        <w:rPr>
          <w:b/>
          <w:bCs/>
        </w:rPr>
      </w:pPr>
      <w:r w:rsidRPr="00AD6463">
        <w:rPr>
          <w:b/>
          <w:bCs/>
        </w:rPr>
        <w:t>高齢者に関する政府間作業部会による、</w:t>
      </w:r>
    </w:p>
    <w:p w14:paraId="40C7A74E" w14:textId="77777777" w:rsidR="00286DF2" w:rsidRDefault="00AD6463" w:rsidP="00286DF2">
      <w:pPr>
        <w:pStyle w:val="Web"/>
        <w:spacing w:before="0" w:beforeAutospacing="0" w:after="0" w:afterAutospacing="0"/>
        <w:rPr>
          <w:b/>
          <w:bCs/>
        </w:rPr>
      </w:pPr>
      <w:r w:rsidRPr="00AD6463">
        <w:rPr>
          <w:b/>
          <w:bCs/>
        </w:rPr>
        <w:t>高齢者の人権に関する法的拘束力のある文書の</w:t>
      </w:r>
    </w:p>
    <w:p w14:paraId="233579DD" w14:textId="11DF5B8B" w:rsidR="00AD6463" w:rsidRDefault="00AD6463" w:rsidP="00286DF2">
      <w:pPr>
        <w:pStyle w:val="Web"/>
        <w:spacing w:before="0" w:beforeAutospacing="0" w:after="0" w:afterAutospacing="0"/>
        <w:rPr>
          <w:b/>
          <w:bCs/>
        </w:rPr>
      </w:pPr>
      <w:r w:rsidRPr="00AD6463">
        <w:rPr>
          <w:b/>
          <w:bCs/>
        </w:rPr>
        <w:t>一般的な枠組み、構成、および指針</w:t>
      </w:r>
      <w:r w:rsidR="007F41B0">
        <w:rPr>
          <w:rFonts w:hint="eastAsia"/>
          <w:b/>
          <w:bCs/>
        </w:rPr>
        <w:t>となる</w:t>
      </w:r>
      <w:r w:rsidRPr="00AD6463">
        <w:rPr>
          <w:b/>
          <w:bCs/>
        </w:rPr>
        <w:t>原則に関する意見募集</w:t>
      </w:r>
    </w:p>
    <w:p w14:paraId="75BD178A" w14:textId="2D86BFA5" w:rsidR="00286DF2" w:rsidRPr="00AD6463" w:rsidRDefault="00286DF2" w:rsidP="00286DF2">
      <w:pPr>
        <w:pStyle w:val="Web"/>
        <w:spacing w:before="0" w:beforeAutospacing="0" w:after="0" w:afterAutospacing="0"/>
        <w:rPr>
          <w:rFonts w:hint="eastAsia"/>
          <w:b/>
          <w:bCs/>
        </w:rPr>
      </w:pPr>
      <w:r>
        <w:rPr>
          <w:rFonts w:hint="eastAsia"/>
          <w:b/>
          <w:bCs/>
        </w:rPr>
        <w:t>（2026年４月）</w:t>
      </w:r>
    </w:p>
    <w:p w14:paraId="71C9C3D3" w14:textId="4ABA169C" w:rsidR="00AD6463" w:rsidRDefault="00AD6463" w:rsidP="00AD6463">
      <w:pPr>
        <w:pStyle w:val="Web"/>
      </w:pPr>
      <w:r w:rsidRPr="00AD6463">
        <w:rPr>
          <w:b/>
          <w:bCs/>
        </w:rPr>
        <w:t>アイルランド保健省からの意見</w:t>
      </w:r>
    </w:p>
    <w:p w14:paraId="6174D8AF" w14:textId="3DBB7078" w:rsidR="00AD6463" w:rsidRPr="00AD6463" w:rsidRDefault="00AD6463" w:rsidP="00AD6463">
      <w:pPr>
        <w:pStyle w:val="Web"/>
        <w:ind w:firstLineChars="100" w:firstLine="210"/>
        <w:rPr>
          <w:sz w:val="21"/>
          <w:szCs w:val="21"/>
        </w:rPr>
      </w:pPr>
      <w:r w:rsidRPr="00AD6463">
        <w:rPr>
          <w:sz w:val="21"/>
          <w:szCs w:val="21"/>
        </w:rPr>
        <w:t>アイルランド政府は、高齢者の人権に関する法的拘束力のある文書を策定するための高齢者に関する政府間作業部会の設置を支持し、同文書の一般的な枠組み、構成、および指針</w:t>
      </w:r>
      <w:r w:rsidR="007F41B0">
        <w:rPr>
          <w:rFonts w:hint="eastAsia"/>
          <w:sz w:val="21"/>
          <w:szCs w:val="21"/>
        </w:rPr>
        <w:t>となる</w:t>
      </w:r>
      <w:r w:rsidRPr="00AD6463">
        <w:rPr>
          <w:sz w:val="21"/>
          <w:szCs w:val="21"/>
        </w:rPr>
        <w:t>原則について意見を提供する機会を歓迎する。</w:t>
      </w:r>
    </w:p>
    <w:p w14:paraId="369544D3" w14:textId="1D954A59" w:rsidR="00AD6463" w:rsidRPr="00AD6463" w:rsidRDefault="00AD6463" w:rsidP="00AD6463">
      <w:pPr>
        <w:pStyle w:val="Web"/>
        <w:ind w:firstLineChars="100" w:firstLine="210"/>
        <w:rPr>
          <w:sz w:val="21"/>
          <w:szCs w:val="21"/>
        </w:rPr>
      </w:pPr>
      <w:r w:rsidRPr="00AD6463">
        <w:rPr>
          <w:sz w:val="21"/>
          <w:szCs w:val="21"/>
        </w:rPr>
        <w:t>平均寿命の</w:t>
      </w:r>
      <w:r w:rsidR="007F41B0">
        <w:rPr>
          <w:rFonts w:hint="eastAsia"/>
          <w:sz w:val="21"/>
          <w:szCs w:val="21"/>
        </w:rPr>
        <w:t>延長</w:t>
      </w:r>
      <w:r w:rsidRPr="00AD6463">
        <w:rPr>
          <w:sz w:val="21"/>
          <w:szCs w:val="21"/>
        </w:rPr>
        <w:t>と人口の高齢化が進む中、高齢者の人権に関する法的拘束力のある文書を策定することは不可欠であり、この必要性はCOVID-19パンデミックによって一層浮き彫りにされた。これは、</w:t>
      </w:r>
      <w:r w:rsidR="007F41B0" w:rsidRPr="00AD6463">
        <w:rPr>
          <w:sz w:val="21"/>
          <w:szCs w:val="21"/>
        </w:rPr>
        <w:t>既存の人権文書における不備に対処する機会となる。</w:t>
      </w:r>
      <w:r w:rsidR="007F41B0">
        <w:rPr>
          <w:rFonts w:hint="eastAsia"/>
          <w:sz w:val="21"/>
          <w:szCs w:val="21"/>
        </w:rPr>
        <w:t>つまり、</w:t>
      </w:r>
      <w:r w:rsidRPr="00AD6463">
        <w:rPr>
          <w:sz w:val="21"/>
          <w:szCs w:val="21"/>
        </w:rPr>
        <w:t>高齢者の権利が侵害される具体的な事例を明確に示し、</w:t>
      </w:r>
      <w:r w:rsidR="007F41B0">
        <w:rPr>
          <w:rFonts w:hint="eastAsia"/>
          <w:sz w:val="21"/>
          <w:szCs w:val="21"/>
        </w:rPr>
        <w:t>そ</w:t>
      </w:r>
      <w:r w:rsidRPr="00AD6463">
        <w:rPr>
          <w:sz w:val="21"/>
          <w:szCs w:val="21"/>
        </w:rPr>
        <w:t>の権利を保護・強化するための効果的なメカニズムを構築すること</w:t>
      </w:r>
      <w:r w:rsidR="007F41B0">
        <w:rPr>
          <w:rFonts w:hint="eastAsia"/>
          <w:sz w:val="21"/>
          <w:szCs w:val="21"/>
        </w:rPr>
        <w:t>ができる。</w:t>
      </w:r>
    </w:p>
    <w:p w14:paraId="5EDC8B2D" w14:textId="08B2E9FD" w:rsidR="00AD6463" w:rsidRPr="00AD6463" w:rsidRDefault="00AD6463" w:rsidP="00AD6463">
      <w:pPr>
        <w:pStyle w:val="Web"/>
        <w:ind w:firstLineChars="100" w:firstLine="210"/>
        <w:rPr>
          <w:sz w:val="21"/>
          <w:szCs w:val="21"/>
        </w:rPr>
      </w:pPr>
      <w:r w:rsidRPr="00AD6463">
        <w:rPr>
          <w:sz w:val="21"/>
          <w:szCs w:val="21"/>
        </w:rPr>
        <w:t>14年間にわたる高齢化に関する無期限作業部会の活動は、</w:t>
      </w:r>
      <w:r w:rsidR="00B11B92" w:rsidRPr="00AD6463">
        <w:rPr>
          <w:sz w:val="21"/>
          <w:szCs w:val="21"/>
        </w:rPr>
        <w:t>豊富な資料を提供して</w:t>
      </w:r>
      <w:r w:rsidR="00B11B92">
        <w:rPr>
          <w:rFonts w:hint="eastAsia"/>
          <w:sz w:val="21"/>
          <w:szCs w:val="21"/>
        </w:rPr>
        <w:t>いる。それをふまえてさらに先に進めるのが</w:t>
      </w:r>
      <w:r w:rsidRPr="00AD6463">
        <w:rPr>
          <w:sz w:val="21"/>
          <w:szCs w:val="21"/>
        </w:rPr>
        <w:t>この重要な取り組み</w:t>
      </w:r>
      <w:r w:rsidR="00B11B92">
        <w:rPr>
          <w:rFonts w:hint="eastAsia"/>
          <w:sz w:val="21"/>
          <w:szCs w:val="21"/>
        </w:rPr>
        <w:t>であ</w:t>
      </w:r>
      <w:r w:rsidR="007C692E">
        <w:rPr>
          <w:rFonts w:hint="eastAsia"/>
          <w:sz w:val="21"/>
          <w:szCs w:val="21"/>
        </w:rPr>
        <w:t>る。</w:t>
      </w:r>
      <w:r w:rsidRPr="00AD6463">
        <w:rPr>
          <w:sz w:val="21"/>
          <w:szCs w:val="21"/>
        </w:rPr>
        <w:t>アイルランド政府はこれを支援する用意がある。</w:t>
      </w:r>
    </w:p>
    <w:p w14:paraId="5F16E0C0" w14:textId="35E91B27" w:rsidR="00AD6463" w:rsidRPr="00B11B92" w:rsidRDefault="00AD6463" w:rsidP="00AD6463">
      <w:pPr>
        <w:pStyle w:val="Web"/>
        <w:rPr>
          <w:b/>
          <w:bCs/>
          <w:sz w:val="21"/>
          <w:szCs w:val="21"/>
        </w:rPr>
      </w:pPr>
      <w:r w:rsidRPr="00B11B92">
        <w:rPr>
          <w:b/>
          <w:bCs/>
          <w:sz w:val="21"/>
          <w:szCs w:val="21"/>
        </w:rPr>
        <w:t>Q1：高齢者の人権に関する国際的な法的拘束力のある文書は、どのような包括的な枠組みに基づいて策定されるべきか</w:t>
      </w:r>
      <w:r w:rsidR="004625E1">
        <w:rPr>
          <w:rFonts w:hint="eastAsia"/>
          <w:b/>
          <w:bCs/>
          <w:sz w:val="21"/>
          <w:szCs w:val="21"/>
        </w:rPr>
        <w:t>？</w:t>
      </w:r>
      <w:r w:rsidRPr="00B11B92">
        <w:rPr>
          <w:b/>
          <w:bCs/>
          <w:sz w:val="21"/>
          <w:szCs w:val="21"/>
        </w:rPr>
        <w:t>さらに、高齢者がすべての人権および基本的自由を完全かつ平等に享受する権利</w:t>
      </w:r>
      <w:r w:rsidR="00132CFF">
        <w:rPr>
          <w:rFonts w:hint="eastAsia"/>
          <w:b/>
          <w:bCs/>
          <w:sz w:val="21"/>
          <w:szCs w:val="21"/>
        </w:rPr>
        <w:t>所有者</w:t>
      </w:r>
      <w:r w:rsidRPr="00B11B92">
        <w:rPr>
          <w:b/>
          <w:bCs/>
          <w:sz w:val="21"/>
          <w:szCs w:val="21"/>
        </w:rPr>
        <w:t>であるという認識を、</w:t>
      </w:r>
      <w:r w:rsidR="00132CFF">
        <w:rPr>
          <w:rFonts w:hint="eastAsia"/>
          <w:b/>
          <w:bCs/>
          <w:sz w:val="21"/>
          <w:szCs w:val="21"/>
        </w:rPr>
        <w:t>その文書が</w:t>
      </w:r>
      <w:r w:rsidRPr="00B11B92">
        <w:rPr>
          <w:b/>
          <w:bCs/>
          <w:sz w:val="21"/>
          <w:szCs w:val="21"/>
        </w:rPr>
        <w:t>最も適切に反映し、強化する</w:t>
      </w:r>
      <w:r w:rsidR="00132CFF">
        <w:rPr>
          <w:rFonts w:hint="eastAsia"/>
          <w:b/>
          <w:bCs/>
          <w:sz w:val="21"/>
          <w:szCs w:val="21"/>
        </w:rPr>
        <w:t>にはどうすべき</w:t>
      </w:r>
      <w:r w:rsidRPr="00B11B92">
        <w:rPr>
          <w:b/>
          <w:bCs/>
          <w:sz w:val="21"/>
          <w:szCs w:val="21"/>
        </w:rPr>
        <w:t>か</w:t>
      </w:r>
      <w:r w:rsidR="004625E1">
        <w:rPr>
          <w:rFonts w:hint="eastAsia"/>
          <w:b/>
          <w:bCs/>
          <w:sz w:val="21"/>
          <w:szCs w:val="21"/>
        </w:rPr>
        <w:t>？</w:t>
      </w:r>
    </w:p>
    <w:p w14:paraId="56AA4D91" w14:textId="60A79B14" w:rsidR="00AD6463" w:rsidRPr="00AD6463" w:rsidRDefault="00AD6463" w:rsidP="00AD6463">
      <w:pPr>
        <w:pStyle w:val="Web"/>
        <w:ind w:firstLineChars="100" w:firstLine="210"/>
        <w:rPr>
          <w:sz w:val="21"/>
          <w:szCs w:val="21"/>
        </w:rPr>
      </w:pPr>
      <w:r w:rsidRPr="00AD6463">
        <w:rPr>
          <w:sz w:val="21"/>
          <w:szCs w:val="21"/>
        </w:rPr>
        <w:t>高齢者の人権に関する国際的な法的拘束力のある文書は、既存の国連人権条約に加え、2015年の「高齢者の人権保護に関する米州条約」など、高齢者の人権に関するその他の関連文書を出発点とすべきである。</w:t>
      </w:r>
      <w:r w:rsidR="0075228F">
        <w:rPr>
          <w:rFonts w:hint="eastAsia"/>
          <w:sz w:val="21"/>
          <w:szCs w:val="21"/>
        </w:rPr>
        <w:t>その</w:t>
      </w:r>
      <w:r w:rsidRPr="00AD6463">
        <w:rPr>
          <w:sz w:val="21"/>
          <w:szCs w:val="21"/>
        </w:rPr>
        <w:t>文書は、高齢者がこれらの条約や文書が</w:t>
      </w:r>
      <w:r w:rsidR="0075228F">
        <w:rPr>
          <w:rFonts w:hint="eastAsia"/>
          <w:sz w:val="21"/>
          <w:szCs w:val="21"/>
        </w:rPr>
        <w:t>定める</w:t>
      </w:r>
      <w:r w:rsidRPr="00AD6463">
        <w:rPr>
          <w:sz w:val="21"/>
          <w:szCs w:val="21"/>
        </w:rPr>
        <w:t>あらゆる人権と基本的自由を有することを確認し、高齢者の尊厳</w:t>
      </w:r>
      <w:r w:rsidR="0075228F">
        <w:rPr>
          <w:rFonts w:hint="eastAsia"/>
          <w:sz w:val="21"/>
          <w:szCs w:val="21"/>
        </w:rPr>
        <w:t>は</w:t>
      </w:r>
      <w:r w:rsidRPr="00AD6463">
        <w:rPr>
          <w:sz w:val="21"/>
          <w:szCs w:val="21"/>
        </w:rPr>
        <w:t>侵すことのできないことを強調すべきである。</w:t>
      </w:r>
    </w:p>
    <w:p w14:paraId="510A0034" w14:textId="5B653B0E" w:rsidR="00AD6463" w:rsidRPr="00AD6463" w:rsidRDefault="00AD6463" w:rsidP="00AD6463">
      <w:pPr>
        <w:pStyle w:val="Web"/>
        <w:ind w:firstLineChars="100" w:firstLine="210"/>
        <w:rPr>
          <w:sz w:val="21"/>
          <w:szCs w:val="21"/>
        </w:rPr>
      </w:pPr>
      <w:r w:rsidRPr="00AD6463">
        <w:rPr>
          <w:sz w:val="21"/>
          <w:szCs w:val="21"/>
        </w:rPr>
        <w:t>あらゆる多様性を持つ高齢者が、すべての人権および基本的自由を完全かつ平等に享受する不可侵の権利を主張するとともに、この法的拘束力のある文書は、高齢者がこれらの権利と自由を実現する上で直面する具体的な障壁を特定し、高齢者の自律、主体性、および経済・社会への完全な参加を阻害している、高齢者が</w:t>
      </w:r>
      <w:r w:rsidR="003C4D69">
        <w:rPr>
          <w:rFonts w:hint="eastAsia"/>
          <w:sz w:val="21"/>
          <w:szCs w:val="21"/>
        </w:rPr>
        <w:t>頻繁に</w:t>
      </w:r>
      <w:r w:rsidRPr="00AD6463">
        <w:rPr>
          <w:sz w:val="21"/>
          <w:szCs w:val="21"/>
        </w:rPr>
        <w:t>経験する権利侵害について詳述すべきである。また</w:t>
      </w:r>
      <w:r w:rsidR="003C4D69">
        <w:rPr>
          <w:rFonts w:hint="eastAsia"/>
          <w:sz w:val="21"/>
          <w:szCs w:val="21"/>
        </w:rPr>
        <w:t>この文書は</w:t>
      </w:r>
      <w:r w:rsidRPr="00AD6463">
        <w:rPr>
          <w:sz w:val="21"/>
          <w:szCs w:val="21"/>
        </w:rPr>
        <w:t>、高齢者が自らの権利と自由を完全に享受できることを想定し、こうした障壁を取り除き、高齢者の保護を強化する</w:t>
      </w:r>
      <w:r w:rsidR="00EA39F1">
        <w:rPr>
          <w:rFonts w:hint="eastAsia"/>
          <w:sz w:val="21"/>
          <w:szCs w:val="21"/>
        </w:rPr>
        <w:t>枠組み、すなわち</w:t>
      </w:r>
      <w:r w:rsidRPr="00AD6463">
        <w:rPr>
          <w:sz w:val="21"/>
          <w:szCs w:val="21"/>
        </w:rPr>
        <w:t>権利に基づく枠組みを提示すべきである。</w:t>
      </w:r>
    </w:p>
    <w:p w14:paraId="066439E4" w14:textId="638399BA" w:rsidR="00AD6463" w:rsidRPr="00AD6463" w:rsidRDefault="00AD6463" w:rsidP="00AD6463">
      <w:pPr>
        <w:pStyle w:val="Web"/>
        <w:ind w:firstLineChars="100" w:firstLine="210"/>
        <w:rPr>
          <w:sz w:val="21"/>
          <w:szCs w:val="21"/>
        </w:rPr>
      </w:pPr>
      <w:r w:rsidRPr="000C6C51">
        <w:rPr>
          <w:sz w:val="21"/>
          <w:szCs w:val="21"/>
        </w:rPr>
        <w:t>この法的拘束力のある文書は、</w:t>
      </w:r>
      <w:r w:rsidRPr="00AD6463">
        <w:rPr>
          <w:sz w:val="21"/>
          <w:szCs w:val="21"/>
        </w:rPr>
        <w:t>加齢が人間の自然かつ普遍的な側面であり、特定の年齢層に限定されるものではなく、むしろすべての人に</w:t>
      </w:r>
      <w:r w:rsidR="00AB1B69">
        <w:rPr>
          <w:rFonts w:hint="eastAsia"/>
          <w:sz w:val="21"/>
          <w:szCs w:val="21"/>
        </w:rPr>
        <w:t>起きている、</w:t>
      </w:r>
      <w:r w:rsidR="000C6C51">
        <w:rPr>
          <w:rFonts w:hint="eastAsia"/>
          <w:sz w:val="21"/>
          <w:szCs w:val="21"/>
        </w:rPr>
        <w:t>なだらかな</w:t>
      </w:r>
      <w:r w:rsidRPr="00AD6463">
        <w:rPr>
          <w:sz w:val="21"/>
          <w:szCs w:val="21"/>
        </w:rPr>
        <w:t>生涯</w:t>
      </w:r>
      <w:r w:rsidR="000C6C51">
        <w:rPr>
          <w:rFonts w:hint="eastAsia"/>
          <w:sz w:val="21"/>
          <w:szCs w:val="21"/>
        </w:rPr>
        <w:t>の</w:t>
      </w:r>
      <w:r w:rsidRPr="00AD6463">
        <w:rPr>
          <w:sz w:val="21"/>
          <w:szCs w:val="21"/>
        </w:rPr>
        <w:t>プロセス</w:t>
      </w:r>
      <w:r w:rsidR="000C6C51">
        <w:rPr>
          <w:rFonts w:hint="eastAsia"/>
          <w:sz w:val="21"/>
          <w:szCs w:val="21"/>
        </w:rPr>
        <w:t>だ</w:t>
      </w:r>
      <w:r w:rsidRPr="00AD6463">
        <w:rPr>
          <w:sz w:val="21"/>
          <w:szCs w:val="21"/>
        </w:rPr>
        <w:t>という認識を前提とすべきである。また「老齢」は社会的</w:t>
      </w:r>
      <w:r w:rsidR="00AB1B69">
        <w:rPr>
          <w:rFonts w:hint="eastAsia"/>
          <w:sz w:val="21"/>
          <w:szCs w:val="21"/>
        </w:rPr>
        <w:t>に形成される概念</w:t>
      </w:r>
      <w:r w:rsidRPr="00AD6463">
        <w:rPr>
          <w:sz w:val="21"/>
          <w:szCs w:val="21"/>
        </w:rPr>
        <w:t>であり、その定義と経験は、寿命の</w:t>
      </w:r>
      <w:r w:rsidR="00AB1B69">
        <w:rPr>
          <w:rFonts w:hint="eastAsia"/>
          <w:sz w:val="21"/>
          <w:szCs w:val="21"/>
        </w:rPr>
        <w:t>延長</w:t>
      </w:r>
      <w:r w:rsidRPr="00AD6463">
        <w:rPr>
          <w:sz w:val="21"/>
          <w:szCs w:val="21"/>
        </w:rPr>
        <w:t>、人口の高齢化、より広範な社会</w:t>
      </w:r>
      <w:r w:rsidR="00AB1B69">
        <w:rPr>
          <w:rFonts w:hint="eastAsia"/>
          <w:sz w:val="21"/>
          <w:szCs w:val="21"/>
        </w:rPr>
        <w:t>の変化</w:t>
      </w:r>
      <w:r w:rsidRPr="00AD6463">
        <w:rPr>
          <w:sz w:val="21"/>
          <w:szCs w:val="21"/>
        </w:rPr>
        <w:t>という文脈</w:t>
      </w:r>
      <w:r w:rsidR="000C6C51">
        <w:rPr>
          <w:rFonts w:hint="eastAsia"/>
          <w:sz w:val="21"/>
          <w:szCs w:val="21"/>
        </w:rPr>
        <w:t>で</w:t>
      </w:r>
      <w:r w:rsidRPr="00AD6463">
        <w:rPr>
          <w:sz w:val="21"/>
          <w:szCs w:val="21"/>
        </w:rPr>
        <w:t>絶えず進化していることを認識すべきである。</w:t>
      </w:r>
    </w:p>
    <w:p w14:paraId="7B687707" w14:textId="7AEA919A" w:rsidR="00AD6463" w:rsidRPr="00AD6463" w:rsidRDefault="00AD6463" w:rsidP="00AD6463">
      <w:pPr>
        <w:pStyle w:val="Web"/>
        <w:ind w:firstLineChars="100" w:firstLine="210"/>
        <w:rPr>
          <w:sz w:val="21"/>
          <w:szCs w:val="21"/>
        </w:rPr>
      </w:pPr>
      <w:r w:rsidRPr="00AD6463">
        <w:rPr>
          <w:sz w:val="21"/>
          <w:szCs w:val="21"/>
        </w:rPr>
        <w:t>加齢がジェンダーや人種といった他の特性と交差することを認識し、この法的拘束力のある文書は、一方では加齢前から障害</w:t>
      </w:r>
      <w:r w:rsidR="00AB1B69">
        <w:rPr>
          <w:rFonts w:hint="eastAsia"/>
          <w:sz w:val="21"/>
          <w:szCs w:val="21"/>
        </w:rPr>
        <w:t>のあった</w:t>
      </w:r>
      <w:r w:rsidRPr="00AD6463">
        <w:rPr>
          <w:sz w:val="21"/>
          <w:szCs w:val="21"/>
        </w:rPr>
        <w:t>人</w:t>
      </w:r>
      <w:r w:rsidR="007C692E">
        <w:rPr>
          <w:rFonts w:hint="eastAsia"/>
          <w:sz w:val="21"/>
          <w:szCs w:val="21"/>
        </w:rPr>
        <w:t>が加齢する場合</w:t>
      </w:r>
      <w:r w:rsidRPr="00AD6463">
        <w:rPr>
          <w:sz w:val="21"/>
          <w:szCs w:val="21"/>
        </w:rPr>
        <w:t>、他方では加齢に伴い障害</w:t>
      </w:r>
      <w:r w:rsidR="00AB1B69">
        <w:rPr>
          <w:rFonts w:hint="eastAsia"/>
          <w:sz w:val="21"/>
          <w:szCs w:val="21"/>
        </w:rPr>
        <w:t>をもつ</w:t>
      </w:r>
      <w:r w:rsidRPr="00AD6463">
        <w:rPr>
          <w:sz w:val="21"/>
          <w:szCs w:val="21"/>
        </w:rPr>
        <w:t>ようになった人との間の区別を認識すべきである。また、生涯を通じて蓄積される不平等が、高齢者の健康、</w:t>
      </w:r>
      <w:r w:rsidR="00AB1B69">
        <w:rPr>
          <w:rFonts w:hint="eastAsia"/>
          <w:sz w:val="21"/>
          <w:szCs w:val="21"/>
        </w:rPr>
        <w:t>ウエルビーイング</w:t>
      </w:r>
      <w:r w:rsidRPr="00AD6463">
        <w:rPr>
          <w:sz w:val="21"/>
          <w:szCs w:val="21"/>
        </w:rPr>
        <w:t>、および生活の質に及ぼす影響についても認識すべきである。</w:t>
      </w:r>
    </w:p>
    <w:p w14:paraId="45BF719D" w14:textId="70CCE597" w:rsidR="00AD6463" w:rsidRPr="00B11B92" w:rsidRDefault="00AD6463" w:rsidP="00AD6463">
      <w:pPr>
        <w:pStyle w:val="Web"/>
        <w:rPr>
          <w:b/>
          <w:bCs/>
          <w:sz w:val="21"/>
          <w:szCs w:val="21"/>
        </w:rPr>
      </w:pPr>
      <w:r w:rsidRPr="00B11B92">
        <w:rPr>
          <w:b/>
          <w:bCs/>
          <w:sz w:val="21"/>
          <w:szCs w:val="21"/>
        </w:rPr>
        <w:t>Q2：高齢者の権利を効果的に保護するために、法的拘束力のある文書はどのような</w:t>
      </w:r>
      <w:r w:rsidR="00132CFF">
        <w:rPr>
          <w:rFonts w:hint="eastAsia"/>
          <w:b/>
          <w:bCs/>
          <w:sz w:val="21"/>
          <w:szCs w:val="21"/>
        </w:rPr>
        <w:t>中核的な</w:t>
      </w:r>
      <w:r w:rsidRPr="00B11B92">
        <w:rPr>
          <w:b/>
          <w:bCs/>
          <w:sz w:val="21"/>
          <w:szCs w:val="21"/>
        </w:rPr>
        <w:t>原則に基づくべきか</w:t>
      </w:r>
      <w:r w:rsidR="00132CFF">
        <w:rPr>
          <w:rFonts w:hint="eastAsia"/>
          <w:b/>
          <w:bCs/>
          <w:sz w:val="21"/>
          <w:szCs w:val="21"/>
        </w:rPr>
        <w:t>？</w:t>
      </w:r>
      <w:r w:rsidRPr="00B11B92">
        <w:rPr>
          <w:b/>
          <w:bCs/>
          <w:sz w:val="21"/>
          <w:szCs w:val="21"/>
        </w:rPr>
        <w:t>さらに、この法的拘束力のある文書</w:t>
      </w:r>
      <w:r w:rsidR="004625E1">
        <w:rPr>
          <w:rFonts w:hint="eastAsia"/>
          <w:b/>
          <w:bCs/>
          <w:sz w:val="21"/>
          <w:szCs w:val="21"/>
        </w:rPr>
        <w:t>は</w:t>
      </w:r>
      <w:r w:rsidRPr="00B11B92">
        <w:rPr>
          <w:b/>
          <w:bCs/>
          <w:sz w:val="21"/>
          <w:szCs w:val="21"/>
        </w:rPr>
        <w:t>、高齢者の既存の人権を再確認すると同時に、</w:t>
      </w:r>
      <w:r w:rsidR="00132CFF">
        <w:rPr>
          <w:rFonts w:hint="eastAsia"/>
          <w:b/>
          <w:bCs/>
          <w:sz w:val="21"/>
          <w:szCs w:val="21"/>
        </w:rPr>
        <w:t>あらたに</w:t>
      </w:r>
      <w:r w:rsidRPr="00B11B92">
        <w:rPr>
          <w:b/>
          <w:bCs/>
          <w:sz w:val="21"/>
          <w:szCs w:val="21"/>
        </w:rPr>
        <w:t>規範的発展が必要な</w:t>
      </w:r>
      <w:r w:rsidR="004625E1">
        <w:rPr>
          <w:rFonts w:hint="eastAsia"/>
          <w:b/>
          <w:bCs/>
          <w:sz w:val="21"/>
          <w:szCs w:val="21"/>
        </w:rPr>
        <w:t>空白</w:t>
      </w:r>
      <w:r w:rsidRPr="00B11B92">
        <w:rPr>
          <w:b/>
          <w:bCs/>
          <w:sz w:val="21"/>
          <w:szCs w:val="21"/>
        </w:rPr>
        <w:t>分野</w:t>
      </w:r>
      <w:r w:rsidR="00590AE5">
        <w:rPr>
          <w:rFonts w:hint="eastAsia"/>
          <w:b/>
          <w:bCs/>
          <w:sz w:val="21"/>
          <w:szCs w:val="21"/>
        </w:rPr>
        <w:t>（</w:t>
      </w:r>
      <w:r w:rsidR="00132CFF">
        <w:rPr>
          <w:rFonts w:hint="eastAsia"/>
          <w:b/>
          <w:bCs/>
          <w:sz w:val="21"/>
          <w:szCs w:val="21"/>
        </w:rPr>
        <w:t>ギャップ）</w:t>
      </w:r>
      <w:r w:rsidRPr="00B11B92">
        <w:rPr>
          <w:b/>
          <w:bCs/>
          <w:sz w:val="21"/>
          <w:szCs w:val="21"/>
        </w:rPr>
        <w:t>を明確に特定し、対処するにはどうすればよいか</w:t>
      </w:r>
      <w:r w:rsidR="00132CFF">
        <w:rPr>
          <w:rFonts w:hint="eastAsia"/>
          <w:b/>
          <w:bCs/>
          <w:sz w:val="21"/>
          <w:szCs w:val="21"/>
        </w:rPr>
        <w:t>？</w:t>
      </w:r>
    </w:p>
    <w:p w14:paraId="44F7CC58" w14:textId="3A1D8BED" w:rsidR="00AD6463" w:rsidRPr="00AD6463" w:rsidRDefault="00AD6463" w:rsidP="00AD6463">
      <w:pPr>
        <w:pStyle w:val="Web"/>
        <w:ind w:firstLineChars="100" w:firstLine="210"/>
        <w:rPr>
          <w:sz w:val="21"/>
          <w:szCs w:val="21"/>
        </w:rPr>
      </w:pPr>
      <w:r w:rsidRPr="00AD6463">
        <w:rPr>
          <w:sz w:val="21"/>
          <w:szCs w:val="21"/>
        </w:rPr>
        <w:t>高齢者の人権に関する法的拘束力のある文書を支える中核的原則には、以下が含まれるべきである：</w:t>
      </w:r>
    </w:p>
    <w:p w14:paraId="71671386" w14:textId="77777777" w:rsidR="00AD6463" w:rsidRPr="00AD6463" w:rsidRDefault="00AD6463" w:rsidP="00636F42">
      <w:pPr>
        <w:pStyle w:val="Web"/>
        <w:spacing w:before="0" w:beforeAutospacing="0" w:after="0" w:afterAutospacing="0"/>
        <w:rPr>
          <w:sz w:val="21"/>
          <w:szCs w:val="21"/>
        </w:rPr>
      </w:pPr>
      <w:r w:rsidRPr="00AD6463">
        <w:rPr>
          <w:sz w:val="21"/>
          <w:szCs w:val="21"/>
        </w:rPr>
        <w:lastRenderedPageBreak/>
        <w:t>- 人権および基本的自由の不可侵性</w:t>
      </w:r>
    </w:p>
    <w:p w14:paraId="1A64E76E" w14:textId="77777777" w:rsidR="00AD6463" w:rsidRPr="00AD6463" w:rsidRDefault="00AD6463" w:rsidP="00636F42">
      <w:pPr>
        <w:pStyle w:val="Web"/>
        <w:spacing w:before="0" w:beforeAutospacing="0" w:after="0" w:afterAutospacing="0"/>
        <w:rPr>
          <w:sz w:val="21"/>
          <w:szCs w:val="21"/>
        </w:rPr>
      </w:pPr>
      <w:r w:rsidRPr="00AD6463">
        <w:rPr>
          <w:sz w:val="21"/>
          <w:szCs w:val="21"/>
        </w:rPr>
        <w:t>- 差別禁止</w:t>
      </w:r>
    </w:p>
    <w:p w14:paraId="2C0F223B" w14:textId="77777777" w:rsidR="00AD6463" w:rsidRPr="00AD6463" w:rsidRDefault="00AD6463" w:rsidP="00636F42">
      <w:pPr>
        <w:pStyle w:val="Web"/>
        <w:spacing w:before="0" w:beforeAutospacing="0" w:after="0" w:afterAutospacing="0"/>
        <w:rPr>
          <w:sz w:val="21"/>
          <w:szCs w:val="21"/>
        </w:rPr>
      </w:pPr>
      <w:r w:rsidRPr="00AD6463">
        <w:rPr>
          <w:sz w:val="21"/>
          <w:szCs w:val="21"/>
        </w:rPr>
        <w:t>- 平等</w:t>
      </w:r>
    </w:p>
    <w:p w14:paraId="5BA0FEE8" w14:textId="3D40BA71" w:rsidR="00AD6463" w:rsidRPr="00AD6463" w:rsidRDefault="00AD6463" w:rsidP="00636F42">
      <w:pPr>
        <w:pStyle w:val="Web"/>
        <w:spacing w:before="0" w:beforeAutospacing="0" w:after="0" w:afterAutospacing="0"/>
        <w:rPr>
          <w:sz w:val="21"/>
          <w:szCs w:val="21"/>
        </w:rPr>
      </w:pPr>
      <w:r w:rsidRPr="00AD6463">
        <w:rPr>
          <w:sz w:val="21"/>
          <w:szCs w:val="21"/>
        </w:rPr>
        <w:t>- 尊厳、プライバシー、個人の自律および自立の尊重</w:t>
      </w:r>
    </w:p>
    <w:p w14:paraId="4A600371" w14:textId="77777777" w:rsidR="00AD6463" w:rsidRPr="00AD6463" w:rsidRDefault="00AD6463" w:rsidP="00636F42">
      <w:pPr>
        <w:pStyle w:val="Web"/>
        <w:spacing w:before="0" w:beforeAutospacing="0" w:after="0" w:afterAutospacing="0"/>
        <w:rPr>
          <w:sz w:val="21"/>
          <w:szCs w:val="21"/>
        </w:rPr>
      </w:pPr>
      <w:r w:rsidRPr="00AD6463">
        <w:rPr>
          <w:sz w:val="21"/>
          <w:szCs w:val="21"/>
        </w:rPr>
        <w:t>- 包摂と統合</w:t>
      </w:r>
    </w:p>
    <w:p w14:paraId="6070D4E0" w14:textId="77777777" w:rsidR="00AD6463" w:rsidRPr="00AD6463" w:rsidRDefault="00AD6463" w:rsidP="00636F42">
      <w:pPr>
        <w:pStyle w:val="Web"/>
        <w:spacing w:before="0" w:beforeAutospacing="0" w:after="0" w:afterAutospacing="0"/>
        <w:rPr>
          <w:sz w:val="21"/>
          <w:szCs w:val="21"/>
        </w:rPr>
      </w:pPr>
      <w:r w:rsidRPr="00AD6463">
        <w:rPr>
          <w:sz w:val="21"/>
          <w:szCs w:val="21"/>
        </w:rPr>
        <w:t>- 連帯</w:t>
      </w:r>
    </w:p>
    <w:p w14:paraId="63A37282" w14:textId="77777777" w:rsidR="00AD6463" w:rsidRPr="00AD6463" w:rsidRDefault="00AD6463" w:rsidP="00636F42">
      <w:pPr>
        <w:pStyle w:val="Web"/>
        <w:spacing w:before="0" w:beforeAutospacing="0" w:after="0" w:afterAutospacing="0"/>
        <w:rPr>
          <w:sz w:val="21"/>
          <w:szCs w:val="21"/>
        </w:rPr>
      </w:pPr>
      <w:r w:rsidRPr="00AD6463">
        <w:rPr>
          <w:sz w:val="21"/>
          <w:szCs w:val="21"/>
        </w:rPr>
        <w:t>- アクセシビリティ</w:t>
      </w:r>
    </w:p>
    <w:p w14:paraId="106CDCF7" w14:textId="77777777" w:rsidR="00AD6463" w:rsidRPr="00AD6463" w:rsidRDefault="00AD6463" w:rsidP="00636F42">
      <w:pPr>
        <w:pStyle w:val="Web"/>
        <w:spacing w:before="0" w:beforeAutospacing="0" w:after="0" w:afterAutospacing="0"/>
        <w:rPr>
          <w:sz w:val="21"/>
          <w:szCs w:val="21"/>
        </w:rPr>
      </w:pPr>
      <w:r w:rsidRPr="00AD6463">
        <w:rPr>
          <w:sz w:val="21"/>
          <w:szCs w:val="21"/>
        </w:rPr>
        <w:t>- ケアとウェルビーイング</w:t>
      </w:r>
    </w:p>
    <w:p w14:paraId="46B42899" w14:textId="1A8DDB37" w:rsidR="00AD6463" w:rsidRPr="00AD6463" w:rsidRDefault="00AD6463" w:rsidP="00636F42">
      <w:pPr>
        <w:pStyle w:val="Web"/>
        <w:spacing w:before="0" w:beforeAutospacing="0" w:after="240" w:afterAutospacing="0"/>
        <w:rPr>
          <w:sz w:val="21"/>
          <w:szCs w:val="21"/>
        </w:rPr>
      </w:pPr>
      <w:r w:rsidRPr="00AD6463">
        <w:rPr>
          <w:sz w:val="21"/>
          <w:szCs w:val="21"/>
        </w:rPr>
        <w:t>- 安全と保護</w:t>
      </w:r>
    </w:p>
    <w:p w14:paraId="214BCECF" w14:textId="38140B9E" w:rsidR="00AD6463" w:rsidRPr="00AD6463" w:rsidRDefault="00AD6463" w:rsidP="00AD6463">
      <w:pPr>
        <w:pStyle w:val="Web"/>
        <w:ind w:firstLineChars="100" w:firstLine="210"/>
        <w:rPr>
          <w:sz w:val="21"/>
          <w:szCs w:val="21"/>
        </w:rPr>
      </w:pPr>
      <w:r w:rsidRPr="00AD6463">
        <w:rPr>
          <w:sz w:val="21"/>
          <w:szCs w:val="21"/>
        </w:rPr>
        <w:t>既存の国際条約や文書</w:t>
      </w:r>
      <w:r w:rsidR="006452A2">
        <w:rPr>
          <w:rFonts w:hint="eastAsia"/>
          <w:sz w:val="21"/>
          <w:szCs w:val="21"/>
        </w:rPr>
        <w:t>は</w:t>
      </w:r>
      <w:r w:rsidRPr="00AD6463">
        <w:rPr>
          <w:sz w:val="21"/>
          <w:szCs w:val="21"/>
        </w:rPr>
        <w:t>、高齢者が普遍的な人権および基本的自由の全範囲を</w:t>
      </w:r>
      <w:r w:rsidR="006452A2">
        <w:rPr>
          <w:rFonts w:hint="eastAsia"/>
          <w:sz w:val="21"/>
          <w:szCs w:val="21"/>
        </w:rPr>
        <w:t>享有していることを規定していることを我々は</w:t>
      </w:r>
      <w:r w:rsidRPr="00AD6463">
        <w:rPr>
          <w:sz w:val="21"/>
          <w:szCs w:val="21"/>
        </w:rPr>
        <w:t>再確認</w:t>
      </w:r>
      <w:r w:rsidR="006452A2">
        <w:rPr>
          <w:rFonts w:hint="eastAsia"/>
          <w:sz w:val="21"/>
          <w:szCs w:val="21"/>
        </w:rPr>
        <w:t>する。しかし同時に、</w:t>
      </w:r>
      <w:r w:rsidRPr="00AD6463">
        <w:rPr>
          <w:sz w:val="21"/>
          <w:szCs w:val="21"/>
        </w:rPr>
        <w:t>こ</w:t>
      </w:r>
      <w:r w:rsidR="00605146">
        <w:rPr>
          <w:rFonts w:hint="eastAsia"/>
          <w:sz w:val="21"/>
          <w:szCs w:val="21"/>
        </w:rPr>
        <w:t>れら</w:t>
      </w:r>
      <w:r w:rsidRPr="00AD6463">
        <w:rPr>
          <w:sz w:val="21"/>
          <w:szCs w:val="21"/>
        </w:rPr>
        <w:t>の国際的な法的拘束力のある文書は</w:t>
      </w:r>
      <w:r w:rsidR="006452A2">
        <w:rPr>
          <w:rFonts w:hint="eastAsia"/>
          <w:sz w:val="21"/>
          <w:szCs w:val="21"/>
        </w:rPr>
        <w:t>次のことを</w:t>
      </w:r>
      <w:r w:rsidR="006452A2" w:rsidRPr="00AD6463">
        <w:rPr>
          <w:sz w:val="21"/>
          <w:szCs w:val="21"/>
        </w:rPr>
        <w:t>認識すべきである。</w:t>
      </w:r>
      <w:r w:rsidR="006452A2">
        <w:rPr>
          <w:rFonts w:hint="eastAsia"/>
          <w:sz w:val="21"/>
          <w:szCs w:val="21"/>
        </w:rPr>
        <w:t>それは、</w:t>
      </w:r>
      <w:r w:rsidRPr="00AD6463">
        <w:rPr>
          <w:sz w:val="21"/>
          <w:szCs w:val="21"/>
        </w:rPr>
        <w:t>高齢者の人権に対する広範な侵害、これらの権利を擁護するための国際人権枠組みの限界、およびこうした権利侵害に対する国内・国際的な法的・政策的対応の不十分さ</w:t>
      </w:r>
      <w:r w:rsidR="006452A2">
        <w:rPr>
          <w:rFonts w:hint="eastAsia"/>
          <w:sz w:val="21"/>
          <w:szCs w:val="21"/>
        </w:rPr>
        <w:t>である。</w:t>
      </w:r>
      <w:r w:rsidR="00547FA9">
        <w:rPr>
          <w:rFonts w:hint="eastAsia"/>
          <w:sz w:val="21"/>
          <w:szCs w:val="21"/>
        </w:rPr>
        <w:t>条約</w:t>
      </w:r>
      <w:r w:rsidRPr="00AD6463">
        <w:rPr>
          <w:sz w:val="21"/>
          <w:szCs w:val="21"/>
        </w:rPr>
        <w:t>は、既存の権利条約</w:t>
      </w:r>
      <w:r w:rsidR="00547FA9">
        <w:rPr>
          <w:rFonts w:hint="eastAsia"/>
          <w:sz w:val="21"/>
          <w:szCs w:val="21"/>
        </w:rPr>
        <w:t>の</w:t>
      </w:r>
      <w:r w:rsidRPr="00AD6463">
        <w:rPr>
          <w:sz w:val="21"/>
          <w:szCs w:val="21"/>
        </w:rPr>
        <w:t>不備に</w:t>
      </w:r>
      <w:r w:rsidR="00547FA9">
        <w:rPr>
          <w:rFonts w:hint="eastAsia"/>
          <w:sz w:val="21"/>
          <w:szCs w:val="21"/>
        </w:rPr>
        <w:t>対応</w:t>
      </w:r>
      <w:r w:rsidRPr="00AD6463">
        <w:rPr>
          <w:sz w:val="21"/>
          <w:szCs w:val="21"/>
        </w:rPr>
        <w:t>するとともに、必要に応じて既存の権利を再概念化し、あらゆる多様性</w:t>
      </w:r>
      <w:r w:rsidR="00547FA9">
        <w:rPr>
          <w:rFonts w:hint="eastAsia"/>
          <w:sz w:val="21"/>
          <w:szCs w:val="21"/>
        </w:rPr>
        <w:t>のある</w:t>
      </w:r>
      <w:r w:rsidRPr="00AD6463">
        <w:rPr>
          <w:sz w:val="21"/>
          <w:szCs w:val="21"/>
        </w:rPr>
        <w:t>高齢者の人権の不可侵性を確認すべきである。</w:t>
      </w:r>
    </w:p>
    <w:p w14:paraId="46DBFE89" w14:textId="7F30DC65" w:rsidR="00AD6463" w:rsidRPr="00AD6463" w:rsidRDefault="00AD6463" w:rsidP="00AD6463">
      <w:pPr>
        <w:pStyle w:val="Web"/>
        <w:ind w:firstLineChars="100" w:firstLine="210"/>
        <w:rPr>
          <w:sz w:val="21"/>
          <w:szCs w:val="21"/>
        </w:rPr>
      </w:pPr>
      <w:r w:rsidRPr="00AD6463">
        <w:rPr>
          <w:sz w:val="21"/>
          <w:szCs w:val="21"/>
        </w:rPr>
        <w:t>さらに、この法的拘束力のある文書は</w:t>
      </w:r>
      <w:r w:rsidR="00547FA9">
        <w:rPr>
          <w:rFonts w:hint="eastAsia"/>
          <w:sz w:val="21"/>
          <w:szCs w:val="21"/>
        </w:rPr>
        <w:t>総合</w:t>
      </w:r>
      <w:r w:rsidRPr="00AD6463">
        <w:rPr>
          <w:sz w:val="21"/>
          <w:szCs w:val="21"/>
        </w:rPr>
        <w:t>的</w:t>
      </w:r>
      <w:r w:rsidR="00AE129A">
        <w:rPr>
          <w:rFonts w:hint="eastAsia"/>
          <w:sz w:val="21"/>
          <w:szCs w:val="21"/>
        </w:rPr>
        <w:t>・</w:t>
      </w:r>
      <w:r w:rsidRPr="00AD6463">
        <w:rPr>
          <w:sz w:val="21"/>
          <w:szCs w:val="21"/>
        </w:rPr>
        <w:t>変革的でなければならない。単に各国に高齢者の人権</w:t>
      </w:r>
      <w:r w:rsidR="00AE129A">
        <w:rPr>
          <w:rFonts w:hint="eastAsia"/>
          <w:sz w:val="21"/>
          <w:szCs w:val="21"/>
        </w:rPr>
        <w:t>保護の</w:t>
      </w:r>
      <w:r w:rsidRPr="00AD6463">
        <w:rPr>
          <w:sz w:val="21"/>
          <w:szCs w:val="21"/>
        </w:rPr>
        <w:t>義務を課すだけでなく、</w:t>
      </w:r>
      <w:r w:rsidR="00547FA9" w:rsidRPr="00AD6463">
        <w:rPr>
          <w:sz w:val="21"/>
          <w:szCs w:val="21"/>
        </w:rPr>
        <w:t>未来</w:t>
      </w:r>
      <w:r w:rsidR="00492986">
        <w:rPr>
          <w:rFonts w:hint="eastAsia"/>
          <w:sz w:val="21"/>
          <w:szCs w:val="21"/>
        </w:rPr>
        <w:t>の変革</w:t>
      </w:r>
      <w:r w:rsidR="00547FA9" w:rsidRPr="00AD6463">
        <w:rPr>
          <w:sz w:val="21"/>
          <w:szCs w:val="21"/>
        </w:rPr>
        <w:t>のビジョンを</w:t>
      </w:r>
      <w:r w:rsidR="00492986">
        <w:rPr>
          <w:rFonts w:hint="eastAsia"/>
          <w:sz w:val="21"/>
          <w:szCs w:val="21"/>
        </w:rPr>
        <w:t>示さなければ</w:t>
      </w:r>
      <w:r w:rsidR="00547FA9" w:rsidRPr="00AD6463">
        <w:rPr>
          <w:sz w:val="21"/>
          <w:szCs w:val="21"/>
        </w:rPr>
        <w:t>ならない。</w:t>
      </w:r>
      <w:r w:rsidR="00547FA9">
        <w:rPr>
          <w:rFonts w:hint="eastAsia"/>
          <w:sz w:val="21"/>
          <w:szCs w:val="21"/>
        </w:rPr>
        <w:t>それは、</w:t>
      </w:r>
      <w:r w:rsidRPr="00AD6463">
        <w:rPr>
          <w:sz w:val="21"/>
          <w:szCs w:val="21"/>
        </w:rPr>
        <w:t>平均寿命の</w:t>
      </w:r>
      <w:r w:rsidR="00492986">
        <w:rPr>
          <w:rFonts w:hint="eastAsia"/>
          <w:sz w:val="21"/>
          <w:szCs w:val="21"/>
        </w:rPr>
        <w:t>延長</w:t>
      </w:r>
      <w:r w:rsidRPr="00AD6463">
        <w:rPr>
          <w:sz w:val="21"/>
          <w:szCs w:val="21"/>
        </w:rPr>
        <w:t>、高齢化社会における高齢者の多様性の増大、技術進歩の急速なペース（人工知能がもたらす機会と課題を含む）、そして社会経済的格差の存在にもかかわらず高まる高齢者の生活の質に対する期待</w:t>
      </w:r>
      <w:r w:rsidR="00492986">
        <w:rPr>
          <w:rFonts w:hint="eastAsia"/>
          <w:sz w:val="21"/>
          <w:szCs w:val="21"/>
        </w:rPr>
        <w:t>などに</w:t>
      </w:r>
      <w:r w:rsidRPr="00AD6463">
        <w:rPr>
          <w:sz w:val="21"/>
          <w:szCs w:val="21"/>
        </w:rPr>
        <w:t>応える</w:t>
      </w:r>
      <w:r w:rsidR="00492986">
        <w:rPr>
          <w:rFonts w:hint="eastAsia"/>
          <w:sz w:val="21"/>
          <w:szCs w:val="21"/>
        </w:rPr>
        <w:t>ものである。</w:t>
      </w:r>
    </w:p>
    <w:p w14:paraId="78586F72" w14:textId="3D2266C9" w:rsidR="00AD6463" w:rsidRPr="00AD6463" w:rsidRDefault="00492986" w:rsidP="00AD6463">
      <w:pPr>
        <w:pStyle w:val="Web"/>
        <w:ind w:firstLineChars="100" w:firstLine="210"/>
        <w:rPr>
          <w:sz w:val="21"/>
          <w:szCs w:val="21"/>
        </w:rPr>
      </w:pPr>
      <w:r w:rsidRPr="00AD6463">
        <w:rPr>
          <w:sz w:val="21"/>
          <w:szCs w:val="21"/>
        </w:rPr>
        <w:t>あらゆる社会で人口の高齢化が進んでいる。</w:t>
      </w:r>
      <w:r>
        <w:rPr>
          <w:rFonts w:hint="eastAsia"/>
          <w:sz w:val="21"/>
          <w:szCs w:val="21"/>
        </w:rPr>
        <w:t>これは、</w:t>
      </w:r>
      <w:r w:rsidR="00AD6463" w:rsidRPr="00AD6463">
        <w:rPr>
          <w:sz w:val="21"/>
          <w:szCs w:val="21"/>
        </w:rPr>
        <w:t>小児予防接種、食糧支援プログラム、教育、生殖に関する権利、その他の要因が世界的に成功を収めた結果</w:t>
      </w:r>
      <w:r>
        <w:rPr>
          <w:rFonts w:hint="eastAsia"/>
          <w:sz w:val="21"/>
          <w:szCs w:val="21"/>
        </w:rPr>
        <w:t>である。</w:t>
      </w:r>
      <w:r w:rsidR="00AD6463" w:rsidRPr="00AD6463">
        <w:rPr>
          <w:sz w:val="21"/>
          <w:szCs w:val="21"/>
        </w:rPr>
        <w:t>これは、特に高齢者が社会や経済に多大な貢献をしていることを踏まえると、称賛に値する成果である。しかし、この世界的な人口動態の傾向は、年金、医療、その他の高齢者支援を提供するインフラが未整備な開発途上国にとって、特に大きな課題となる。法的拘束力のある文書</w:t>
      </w:r>
      <w:r w:rsidR="002E7698">
        <w:rPr>
          <w:rFonts w:hint="eastAsia"/>
          <w:sz w:val="21"/>
          <w:szCs w:val="21"/>
        </w:rPr>
        <w:t>で</w:t>
      </w:r>
      <w:r w:rsidR="00AD6463" w:rsidRPr="00AD6463">
        <w:rPr>
          <w:sz w:val="21"/>
          <w:szCs w:val="21"/>
        </w:rPr>
        <w:t>は、</w:t>
      </w:r>
      <w:r w:rsidR="002E7698" w:rsidRPr="00AD6463">
        <w:rPr>
          <w:sz w:val="21"/>
          <w:szCs w:val="21"/>
        </w:rPr>
        <w:t>高齢化が進</w:t>
      </w:r>
      <w:r w:rsidR="002E7698">
        <w:rPr>
          <w:rFonts w:hint="eastAsia"/>
          <w:sz w:val="21"/>
          <w:szCs w:val="21"/>
        </w:rPr>
        <w:t>んだ</w:t>
      </w:r>
      <w:r w:rsidR="00AD6463" w:rsidRPr="00AD6463">
        <w:rPr>
          <w:sz w:val="21"/>
          <w:szCs w:val="21"/>
        </w:rPr>
        <w:t>貧困国</w:t>
      </w:r>
      <w:r w:rsidR="002E7698">
        <w:rPr>
          <w:rFonts w:hint="eastAsia"/>
          <w:sz w:val="21"/>
          <w:szCs w:val="21"/>
        </w:rPr>
        <w:t>では</w:t>
      </w:r>
      <w:r w:rsidR="00AD6463" w:rsidRPr="00AD6463">
        <w:rPr>
          <w:sz w:val="21"/>
          <w:szCs w:val="21"/>
        </w:rPr>
        <w:t>、高齢者が脆弱になる事実を認識することが不可欠である。</w:t>
      </w:r>
    </w:p>
    <w:p w14:paraId="04BA90E1" w14:textId="4536CA43" w:rsidR="00AD6463" w:rsidRPr="00AD6463" w:rsidRDefault="00AD6463" w:rsidP="00AD6463">
      <w:pPr>
        <w:pStyle w:val="Web"/>
        <w:ind w:firstLineChars="100" w:firstLine="210"/>
        <w:rPr>
          <w:sz w:val="21"/>
          <w:szCs w:val="21"/>
        </w:rPr>
      </w:pPr>
      <w:r w:rsidRPr="00AD6463">
        <w:rPr>
          <w:sz w:val="21"/>
          <w:szCs w:val="21"/>
        </w:rPr>
        <w:t>新型コロナウイルス感染症（COVID-19）のパンデミックが高齢者に</w:t>
      </w:r>
      <w:r w:rsidR="002E7698">
        <w:rPr>
          <w:rFonts w:hint="eastAsia"/>
          <w:sz w:val="21"/>
          <w:szCs w:val="21"/>
        </w:rPr>
        <w:t>特に大きな</w:t>
      </w:r>
      <w:r w:rsidRPr="00AD6463">
        <w:rPr>
          <w:sz w:val="21"/>
          <w:szCs w:val="21"/>
        </w:rPr>
        <w:t>影響を与えたように、法的拘束力のある文書には、</w:t>
      </w:r>
      <w:r w:rsidR="002E7698">
        <w:rPr>
          <w:rFonts w:hint="eastAsia"/>
          <w:sz w:val="21"/>
          <w:szCs w:val="21"/>
        </w:rPr>
        <w:t>危機的な</w:t>
      </w:r>
      <w:r w:rsidRPr="00AD6463">
        <w:rPr>
          <w:sz w:val="21"/>
          <w:szCs w:val="21"/>
        </w:rPr>
        <w:t>状況や人道上の緊急事態に関する専用の条項を盛り込む必要もある。これにより、そのような状況下にある高齢者の権利が常に尊重され、保護され、実現されることが保証される</w:t>
      </w:r>
      <w:r w:rsidR="0032684F">
        <w:rPr>
          <w:rStyle w:val="af1"/>
          <w:sz w:val="21"/>
          <w:szCs w:val="21"/>
        </w:rPr>
        <w:footnoteReference w:id="1"/>
      </w:r>
      <w:r w:rsidRPr="00AD6463">
        <w:rPr>
          <w:sz w:val="21"/>
          <w:szCs w:val="21"/>
        </w:rPr>
        <w:t>。</w:t>
      </w:r>
    </w:p>
    <w:p w14:paraId="3F8E1673" w14:textId="5B9C6777" w:rsidR="00AD6463" w:rsidRPr="00AD6463" w:rsidRDefault="00AD6463" w:rsidP="00AD6463">
      <w:pPr>
        <w:pStyle w:val="Web"/>
        <w:ind w:firstLineChars="100" w:firstLine="210"/>
        <w:rPr>
          <w:sz w:val="21"/>
          <w:szCs w:val="21"/>
        </w:rPr>
      </w:pPr>
      <w:r w:rsidRPr="007F62C2">
        <w:rPr>
          <w:sz w:val="21"/>
          <w:szCs w:val="21"/>
        </w:rPr>
        <w:t>保健・社会福祉サービスの提供は、高齢者が自身の機能的能力を最大限に発揮し、自らの希望に沿</w:t>
      </w:r>
      <w:r w:rsidRPr="00AD6463">
        <w:rPr>
          <w:sz w:val="21"/>
          <w:szCs w:val="21"/>
        </w:rPr>
        <w:t>って自立した生活を送れるよう、高齢者のエンパワーメントに焦点を当てるべきである。したがって、法的拘束力のある文書には、高齢者の社会的包摂の権利、健康の権利、および保健サービスへの公平なアクセス権を明記すべきであり、これには、個人中心で合意に基づく在宅・地域密着型のケアサービスおよび支援に対する、立法的、行政的、実質的な権利の確立が含まれるべきである。施設入所型のケアを通じて日常的に発生している非人道的または品位を傷つける扱い、および恣意的な拘禁から</w:t>
      </w:r>
      <w:r w:rsidRPr="00AD6463">
        <w:rPr>
          <w:sz w:val="21"/>
          <w:szCs w:val="21"/>
        </w:rPr>
        <w:lastRenderedPageBreak/>
        <w:t>高齢者を保護するため、法的拘束力のある文書は、ケアを目的とした高齢者の施設入所を防止するために必要なあらゆる措置を講じるよう各国に義務付けるべきである</w:t>
      </w:r>
      <w:r w:rsidR="003F20FE">
        <w:rPr>
          <w:rStyle w:val="af1"/>
          <w:sz w:val="21"/>
          <w:szCs w:val="21"/>
        </w:rPr>
        <w:footnoteReference w:id="2"/>
      </w:r>
      <w:r w:rsidRPr="00AD6463">
        <w:rPr>
          <w:sz w:val="21"/>
          <w:szCs w:val="21"/>
        </w:rPr>
        <w:t>。また、法的拘束力のある文書に安楽死</w:t>
      </w:r>
      <w:r w:rsidR="00351E76">
        <w:rPr>
          <w:rFonts w:hint="eastAsia"/>
          <w:sz w:val="21"/>
          <w:szCs w:val="21"/>
        </w:rPr>
        <w:t>（assisted death）</w:t>
      </w:r>
      <w:r w:rsidRPr="00AD6463">
        <w:rPr>
          <w:sz w:val="21"/>
          <w:szCs w:val="21"/>
        </w:rPr>
        <w:t>の権利を明記すべきかどうかについても検討が必要となる可能性がある。</w:t>
      </w:r>
    </w:p>
    <w:p w14:paraId="2193365E" w14:textId="5C4344E6" w:rsidR="00AD6463" w:rsidRPr="00AD6463" w:rsidRDefault="00AD6463" w:rsidP="00AD6463">
      <w:pPr>
        <w:pStyle w:val="Web"/>
        <w:ind w:firstLineChars="100" w:firstLine="210"/>
        <w:rPr>
          <w:sz w:val="21"/>
          <w:szCs w:val="21"/>
        </w:rPr>
      </w:pPr>
      <w:r w:rsidRPr="00AD6463">
        <w:rPr>
          <w:sz w:val="21"/>
          <w:szCs w:val="21"/>
        </w:rPr>
        <w:t>財政的制約により、高齢者の社会経済的権利の漸進的な実現</w:t>
      </w:r>
      <w:r w:rsidR="00351E76">
        <w:rPr>
          <w:rFonts w:hint="eastAsia"/>
          <w:sz w:val="21"/>
          <w:szCs w:val="21"/>
        </w:rPr>
        <w:t>への</w:t>
      </w:r>
      <w:r w:rsidRPr="00AD6463">
        <w:rPr>
          <w:sz w:val="21"/>
          <w:szCs w:val="21"/>
        </w:rPr>
        <w:t>各国の対応が制限されることは認識されている</w:t>
      </w:r>
      <w:r w:rsidR="00351E76">
        <w:rPr>
          <w:rFonts w:hint="eastAsia"/>
          <w:sz w:val="21"/>
          <w:szCs w:val="21"/>
        </w:rPr>
        <w:t>(</w:t>
      </w:r>
      <w:r w:rsidR="00351E76" w:rsidRPr="00AD6463">
        <w:rPr>
          <w:sz w:val="21"/>
          <w:szCs w:val="21"/>
        </w:rPr>
        <w:t>例えば保健・社会福祉の分野</w:t>
      </w:r>
      <w:r w:rsidR="00351E76">
        <w:rPr>
          <w:rFonts w:hint="eastAsia"/>
          <w:sz w:val="21"/>
          <w:szCs w:val="21"/>
        </w:rPr>
        <w:t>)。しかし、</w:t>
      </w:r>
      <w:r w:rsidRPr="00AD6463">
        <w:rPr>
          <w:sz w:val="21"/>
          <w:szCs w:val="21"/>
        </w:rPr>
        <w:t>高齢者の市民的および政治的権利の実現については、そのような制約は生じないことを認めるべきである。</w:t>
      </w:r>
    </w:p>
    <w:p w14:paraId="462B9423" w14:textId="258D800B" w:rsidR="00AD6463" w:rsidRPr="00AD6463" w:rsidRDefault="00AD6463" w:rsidP="00AD6463">
      <w:pPr>
        <w:pStyle w:val="Web"/>
        <w:ind w:firstLineChars="100" w:firstLine="210"/>
        <w:rPr>
          <w:sz w:val="21"/>
          <w:szCs w:val="21"/>
        </w:rPr>
      </w:pPr>
      <w:r w:rsidRPr="00AD6463">
        <w:rPr>
          <w:sz w:val="21"/>
          <w:szCs w:val="21"/>
        </w:rPr>
        <w:t>特に、法的拘束力のある文書は、年齢に基づく差別やエイジズムが、高齢者の平等と人間の尊厳に対する基本的権利の侵害であることを認識すべきである。こうした権利侵害に対処</w:t>
      </w:r>
      <w:r w:rsidR="00847AFF">
        <w:rPr>
          <w:rFonts w:hint="eastAsia"/>
          <w:sz w:val="21"/>
          <w:szCs w:val="21"/>
        </w:rPr>
        <w:t>するために、そして、</w:t>
      </w:r>
      <w:r w:rsidRPr="00AD6463">
        <w:rPr>
          <w:sz w:val="21"/>
          <w:szCs w:val="21"/>
        </w:rPr>
        <w:t>エイジズムや年齢</w:t>
      </w:r>
      <w:r w:rsidR="00847AFF">
        <w:rPr>
          <w:rFonts w:hint="eastAsia"/>
          <w:sz w:val="21"/>
          <w:szCs w:val="21"/>
        </w:rPr>
        <w:t>に基づく</w:t>
      </w:r>
      <w:r w:rsidRPr="00AD6463">
        <w:rPr>
          <w:sz w:val="21"/>
          <w:szCs w:val="21"/>
        </w:rPr>
        <w:t>差別が法律や制度に構造的に顕在しているだけでなく、対人関係においても内面化され顕在化していること</w:t>
      </w:r>
      <w:r w:rsidR="00847AFF">
        <w:rPr>
          <w:rFonts w:hint="eastAsia"/>
          <w:sz w:val="21"/>
          <w:szCs w:val="21"/>
        </w:rPr>
        <w:t>が認められるので、</w:t>
      </w:r>
      <w:r w:rsidRPr="00AD6463">
        <w:rPr>
          <w:sz w:val="21"/>
          <w:szCs w:val="21"/>
        </w:rPr>
        <w:t>法的拘束力のある文書は、教育、雇用、公共・政治への参加、保健・社会</w:t>
      </w:r>
      <w:r w:rsidR="00847AFF">
        <w:rPr>
          <w:rFonts w:hint="eastAsia"/>
          <w:sz w:val="21"/>
          <w:szCs w:val="21"/>
        </w:rPr>
        <w:t>的ケア</w:t>
      </w:r>
      <w:r w:rsidRPr="00AD6463">
        <w:rPr>
          <w:sz w:val="21"/>
          <w:szCs w:val="21"/>
        </w:rPr>
        <w:t>など、あらゆる分野の公的・民間部門において、エイジズムや年齢</w:t>
      </w:r>
      <w:r w:rsidR="00847AFF">
        <w:rPr>
          <w:rFonts w:hint="eastAsia"/>
          <w:sz w:val="21"/>
          <w:szCs w:val="21"/>
        </w:rPr>
        <w:t>に基づく</w:t>
      </w:r>
      <w:r w:rsidRPr="00AD6463">
        <w:rPr>
          <w:sz w:val="21"/>
          <w:szCs w:val="21"/>
        </w:rPr>
        <w:t>差別を禁止・防止するよう、各国に明確な義務を課すべきである。</w:t>
      </w:r>
    </w:p>
    <w:p w14:paraId="51E53811" w14:textId="008B8D11" w:rsidR="00AD6463" w:rsidRPr="00AD6463" w:rsidRDefault="00AD6463" w:rsidP="00AD6463">
      <w:pPr>
        <w:pStyle w:val="Web"/>
        <w:ind w:firstLineChars="100" w:firstLine="210"/>
        <w:rPr>
          <w:sz w:val="21"/>
          <w:szCs w:val="21"/>
        </w:rPr>
      </w:pPr>
      <w:r w:rsidRPr="00AD6463">
        <w:rPr>
          <w:sz w:val="21"/>
          <w:szCs w:val="21"/>
        </w:rPr>
        <w:t>例えば、西ヨーロッパにおいて平均寿命が80代半ばまで延びている状況下で、特定の年齢での定年退職を強制し続けることは、年齢差別に基づく高齢者の労働権に対する明白な侵害である</w:t>
      </w:r>
      <w:r w:rsidR="003F20FE">
        <w:rPr>
          <w:rStyle w:val="af1"/>
          <w:sz w:val="21"/>
          <w:szCs w:val="21"/>
        </w:rPr>
        <w:footnoteReference w:id="3"/>
      </w:r>
      <w:r w:rsidRPr="00AD6463">
        <w:rPr>
          <w:sz w:val="21"/>
          <w:szCs w:val="21"/>
        </w:rPr>
        <w:t>。したがって、法的拘束力のある文書は、各国に対し定年制を廃止する義務を課すことが不可欠である</w:t>
      </w:r>
      <w:r w:rsidR="003F20FE">
        <w:rPr>
          <w:rStyle w:val="af1"/>
          <w:sz w:val="21"/>
          <w:szCs w:val="21"/>
        </w:rPr>
        <w:footnoteReference w:id="4"/>
      </w:r>
      <w:r w:rsidRPr="00AD6463">
        <w:rPr>
          <w:sz w:val="21"/>
          <w:szCs w:val="21"/>
        </w:rPr>
        <w:t>。</w:t>
      </w:r>
    </w:p>
    <w:p w14:paraId="08486F0F" w14:textId="09174DFF" w:rsidR="00AD6463" w:rsidRPr="00AD6463" w:rsidRDefault="00AD6463" w:rsidP="00AD6463">
      <w:pPr>
        <w:pStyle w:val="Web"/>
        <w:ind w:firstLineChars="100" w:firstLine="210"/>
        <w:rPr>
          <w:sz w:val="21"/>
          <w:szCs w:val="21"/>
        </w:rPr>
      </w:pPr>
      <w:r w:rsidRPr="00AD6463">
        <w:rPr>
          <w:sz w:val="21"/>
          <w:szCs w:val="21"/>
        </w:rPr>
        <w:t>同様に、保険業界では現在、EU法の下で容認されている年齢差別が広く行われており、その結果、高齢者は様々な種類の保険（例えば旅行保険や自動車保険）に加入できないか、あるいは法外な高額保険料を課される事態が生じている。より広範には、</w:t>
      </w:r>
      <w:r w:rsidR="00EC317D" w:rsidRPr="00AD6463">
        <w:rPr>
          <w:sz w:val="21"/>
          <w:szCs w:val="21"/>
        </w:rPr>
        <w:t>高齢者の消費者保護を強化することが不可欠である。</w:t>
      </w:r>
      <w:r w:rsidRPr="00AD6463">
        <w:rPr>
          <w:sz w:val="21"/>
          <w:szCs w:val="21"/>
        </w:rPr>
        <w:t>例えば、支援付き住宅パッケージを購入した者が、権利として受けるべきサービスを確実に受けられるようにすることなど</w:t>
      </w:r>
      <w:r w:rsidR="00EC317D">
        <w:rPr>
          <w:rFonts w:hint="eastAsia"/>
          <w:sz w:val="21"/>
          <w:szCs w:val="21"/>
        </w:rPr>
        <w:t>。</w:t>
      </w:r>
    </w:p>
    <w:p w14:paraId="38783BD8" w14:textId="7050C166" w:rsidR="00AD6463" w:rsidRPr="00AD6463" w:rsidRDefault="00AD6463" w:rsidP="00AD6463">
      <w:pPr>
        <w:pStyle w:val="Web"/>
        <w:ind w:firstLineChars="100" w:firstLine="210"/>
        <w:rPr>
          <w:b/>
          <w:bCs/>
          <w:sz w:val="21"/>
          <w:szCs w:val="21"/>
        </w:rPr>
      </w:pPr>
      <w:r w:rsidRPr="00AD6463">
        <w:rPr>
          <w:sz w:val="21"/>
          <w:szCs w:val="21"/>
        </w:rPr>
        <w:t>高齢者の自律が尊重され、実現されることの重要性を強調</w:t>
      </w:r>
      <w:r w:rsidR="00EC317D">
        <w:rPr>
          <w:rFonts w:hint="eastAsia"/>
          <w:sz w:val="21"/>
          <w:szCs w:val="21"/>
        </w:rPr>
        <w:t>するとともに</w:t>
      </w:r>
      <w:r w:rsidRPr="00AD6463">
        <w:rPr>
          <w:sz w:val="21"/>
          <w:szCs w:val="21"/>
        </w:rPr>
        <w:t>、法的拘束力のある枠組みは、年齢（または年齢と交差するその他の特性）、地理的場所、</w:t>
      </w:r>
      <w:r w:rsidR="00EC317D">
        <w:rPr>
          <w:rFonts w:hint="eastAsia"/>
          <w:sz w:val="21"/>
          <w:szCs w:val="21"/>
        </w:rPr>
        <w:t>インターネットへの</w:t>
      </w:r>
      <w:r w:rsidRPr="00AD6463">
        <w:rPr>
          <w:sz w:val="21"/>
          <w:szCs w:val="21"/>
        </w:rPr>
        <w:t>接続状況にかかわらず、商品やサービスへの制限のないアクセスを確保すべきである。また、高齢者に対する虐待から保護するための強力な国家メカニズムを義務付けるべきである。</w:t>
      </w:r>
    </w:p>
    <w:p w14:paraId="34EE3445" w14:textId="7A34B756" w:rsidR="00AD6463" w:rsidRPr="00B11B92" w:rsidRDefault="00AD6463" w:rsidP="00AD6463">
      <w:pPr>
        <w:pStyle w:val="Web"/>
        <w:rPr>
          <w:b/>
          <w:bCs/>
          <w:sz w:val="21"/>
          <w:szCs w:val="21"/>
        </w:rPr>
      </w:pPr>
      <w:r w:rsidRPr="00B11B92">
        <w:rPr>
          <w:b/>
          <w:bCs/>
          <w:sz w:val="21"/>
          <w:szCs w:val="21"/>
        </w:rPr>
        <w:t>Q3：</w:t>
      </w:r>
      <w:r w:rsidR="0075228F" w:rsidRPr="00B11B92">
        <w:rPr>
          <w:b/>
          <w:bCs/>
          <w:sz w:val="21"/>
          <w:szCs w:val="21"/>
        </w:rPr>
        <w:t>法的拘束力のある文書は</w:t>
      </w:r>
      <w:r w:rsidR="0075228F">
        <w:rPr>
          <w:rFonts w:hint="eastAsia"/>
          <w:b/>
          <w:bCs/>
          <w:sz w:val="21"/>
          <w:szCs w:val="21"/>
        </w:rPr>
        <w:t>、</w:t>
      </w:r>
      <w:r w:rsidRPr="00B11B92">
        <w:rPr>
          <w:b/>
          <w:bCs/>
          <w:sz w:val="21"/>
          <w:szCs w:val="21"/>
        </w:rPr>
        <w:t>明確性と実効性を確保するために、どのような全体的な構成や枠組みを採用すべきか。例えば、前文、定義、一般原則、一般的義務、具体的権利、および実施規定を含めるべきか。</w:t>
      </w:r>
    </w:p>
    <w:p w14:paraId="187AB8BC" w14:textId="53470775" w:rsidR="00AD6463" w:rsidRPr="00AD6463" w:rsidRDefault="00AD6463" w:rsidP="00636F42">
      <w:pPr>
        <w:pStyle w:val="Web"/>
        <w:spacing w:before="0" w:beforeAutospacing="0" w:after="0" w:afterAutospacing="0"/>
        <w:ind w:firstLineChars="100" w:firstLine="210"/>
        <w:rPr>
          <w:sz w:val="21"/>
          <w:szCs w:val="21"/>
        </w:rPr>
      </w:pPr>
      <w:r w:rsidRPr="00AD6463">
        <w:rPr>
          <w:sz w:val="21"/>
          <w:szCs w:val="21"/>
        </w:rPr>
        <w:t>法的拘束力のある文書全体の構成は、以下のセクションを含むべきである：</w:t>
      </w:r>
    </w:p>
    <w:p w14:paraId="370DCD0E" w14:textId="77777777" w:rsidR="00AD6463" w:rsidRPr="00AD6463" w:rsidRDefault="00AD6463" w:rsidP="00636F42">
      <w:pPr>
        <w:pStyle w:val="Web"/>
        <w:spacing w:before="0" w:beforeAutospacing="0" w:after="0" w:afterAutospacing="0"/>
        <w:ind w:leftChars="295" w:left="708"/>
        <w:rPr>
          <w:sz w:val="21"/>
          <w:szCs w:val="21"/>
        </w:rPr>
      </w:pPr>
      <w:r w:rsidRPr="00AD6463">
        <w:rPr>
          <w:sz w:val="21"/>
          <w:szCs w:val="21"/>
        </w:rPr>
        <w:t>- 前文</w:t>
      </w:r>
    </w:p>
    <w:p w14:paraId="278053E0" w14:textId="360A539F" w:rsidR="00AD6463" w:rsidRPr="00AD6463" w:rsidRDefault="00AD6463" w:rsidP="00636F42">
      <w:pPr>
        <w:pStyle w:val="Web"/>
        <w:spacing w:before="0" w:beforeAutospacing="0" w:after="0" w:afterAutospacing="0"/>
        <w:ind w:leftChars="295" w:left="708"/>
        <w:rPr>
          <w:sz w:val="21"/>
          <w:szCs w:val="21"/>
        </w:rPr>
      </w:pPr>
      <w:r w:rsidRPr="00AD6463">
        <w:rPr>
          <w:sz w:val="21"/>
          <w:szCs w:val="21"/>
        </w:rPr>
        <w:t>- 目的および範囲</w:t>
      </w:r>
    </w:p>
    <w:p w14:paraId="011E7E4A" w14:textId="77777777" w:rsidR="00AD6463" w:rsidRPr="00AD6463" w:rsidRDefault="00AD6463" w:rsidP="00636F42">
      <w:pPr>
        <w:pStyle w:val="Web"/>
        <w:spacing w:before="0" w:beforeAutospacing="0" w:after="0" w:afterAutospacing="0"/>
        <w:ind w:leftChars="295" w:left="708"/>
        <w:rPr>
          <w:sz w:val="21"/>
          <w:szCs w:val="21"/>
        </w:rPr>
      </w:pPr>
      <w:r w:rsidRPr="00AD6463">
        <w:rPr>
          <w:sz w:val="21"/>
          <w:szCs w:val="21"/>
        </w:rPr>
        <w:t>- 概念および定義</w:t>
      </w:r>
    </w:p>
    <w:p w14:paraId="09DF7C0E" w14:textId="77777777" w:rsidR="00AD6463" w:rsidRPr="00AD6463" w:rsidRDefault="00AD6463" w:rsidP="00636F42">
      <w:pPr>
        <w:pStyle w:val="Web"/>
        <w:spacing w:before="0" w:beforeAutospacing="0" w:after="0" w:afterAutospacing="0"/>
        <w:ind w:leftChars="295" w:left="708"/>
        <w:rPr>
          <w:sz w:val="21"/>
          <w:szCs w:val="21"/>
        </w:rPr>
      </w:pPr>
      <w:r w:rsidRPr="00AD6463">
        <w:rPr>
          <w:sz w:val="21"/>
          <w:szCs w:val="21"/>
        </w:rPr>
        <w:t>- 一般原則</w:t>
      </w:r>
    </w:p>
    <w:p w14:paraId="5DA6EE24" w14:textId="77777777" w:rsidR="00AD6463" w:rsidRPr="00AD6463" w:rsidRDefault="00AD6463" w:rsidP="00636F42">
      <w:pPr>
        <w:pStyle w:val="Web"/>
        <w:spacing w:before="0" w:beforeAutospacing="0" w:after="0" w:afterAutospacing="0"/>
        <w:ind w:leftChars="295" w:left="708"/>
        <w:rPr>
          <w:sz w:val="21"/>
          <w:szCs w:val="21"/>
        </w:rPr>
      </w:pPr>
      <w:r w:rsidRPr="00AD6463">
        <w:rPr>
          <w:sz w:val="21"/>
          <w:szCs w:val="21"/>
        </w:rPr>
        <w:t>- 国家の一般的義務</w:t>
      </w:r>
    </w:p>
    <w:p w14:paraId="680AC43D" w14:textId="77777777" w:rsidR="00AD6463" w:rsidRPr="00AD6463" w:rsidRDefault="00AD6463" w:rsidP="00636F42">
      <w:pPr>
        <w:pStyle w:val="Web"/>
        <w:spacing w:before="0" w:beforeAutospacing="0" w:after="0" w:afterAutospacing="0"/>
        <w:ind w:leftChars="295" w:left="708"/>
        <w:rPr>
          <w:sz w:val="21"/>
          <w:szCs w:val="21"/>
        </w:rPr>
      </w:pPr>
      <w:r w:rsidRPr="00AD6463">
        <w:rPr>
          <w:sz w:val="21"/>
          <w:szCs w:val="21"/>
        </w:rPr>
        <w:t>- 盛り込むべき具体的な人権</w:t>
      </w:r>
    </w:p>
    <w:p w14:paraId="00174290" w14:textId="77777777" w:rsidR="00AD6463" w:rsidRPr="00AD6463" w:rsidRDefault="00AD6463" w:rsidP="00636F42">
      <w:pPr>
        <w:pStyle w:val="Web"/>
        <w:spacing w:before="0" w:beforeAutospacing="0" w:after="0" w:afterAutospacing="0"/>
        <w:ind w:leftChars="295" w:left="708"/>
        <w:rPr>
          <w:sz w:val="21"/>
          <w:szCs w:val="21"/>
        </w:rPr>
      </w:pPr>
      <w:r w:rsidRPr="00AD6463">
        <w:rPr>
          <w:sz w:val="21"/>
          <w:szCs w:val="21"/>
        </w:rPr>
        <w:t>- 実施および監視（データ収集および説明責任メカニズムを含む）</w:t>
      </w:r>
    </w:p>
    <w:p w14:paraId="17613F18" w14:textId="587D5102" w:rsidR="00AD6463" w:rsidRPr="00636F42" w:rsidRDefault="00636F42" w:rsidP="00636F42">
      <w:pPr>
        <w:pStyle w:val="Web"/>
        <w:spacing w:before="0" w:beforeAutospacing="0" w:after="0" w:afterAutospacing="0"/>
        <w:jc w:val="right"/>
        <w:rPr>
          <w:sz w:val="21"/>
          <w:szCs w:val="21"/>
        </w:rPr>
      </w:pPr>
      <w:r w:rsidRPr="00636F42">
        <w:rPr>
          <w:rFonts w:hint="eastAsia"/>
          <w:sz w:val="21"/>
          <w:szCs w:val="21"/>
        </w:rPr>
        <w:t>（翻訳：佐藤久夫、　　　）</w:t>
      </w:r>
    </w:p>
    <w:p w14:paraId="4F5E1849" w14:textId="77777777" w:rsidR="00AD6463" w:rsidRDefault="00AD6463" w:rsidP="00AD6463">
      <w:pPr>
        <w:contextualSpacing/>
        <w:rPr>
          <w:b/>
          <w:bCs/>
        </w:rPr>
      </w:pPr>
    </w:p>
    <w:p w14:paraId="2BBB5071" w14:textId="77777777" w:rsidR="00AD6463" w:rsidRDefault="00AD6463" w:rsidP="00AD6463">
      <w:pPr>
        <w:contextualSpacing/>
        <w:rPr>
          <w:b/>
          <w:bCs/>
        </w:rPr>
      </w:pPr>
    </w:p>
    <w:p w14:paraId="293ED686" w14:textId="67D6850E" w:rsidR="00A67E1C" w:rsidRPr="0075312C" w:rsidRDefault="00A67E1C" w:rsidP="00776C0A">
      <w:pPr>
        <w:contextualSpacing/>
        <w:jc w:val="center"/>
        <w:rPr>
          <w:b/>
          <w:bCs/>
        </w:rPr>
      </w:pPr>
      <w:r w:rsidRPr="0075312C">
        <w:rPr>
          <w:b/>
          <w:bCs/>
        </w:rPr>
        <w:t>Intergovernmental Working Group on Older Persons</w:t>
      </w:r>
      <w:r w:rsidR="00776C0A">
        <w:rPr>
          <w:b/>
          <w:bCs/>
        </w:rPr>
        <w:t>’ c</w:t>
      </w:r>
      <w:r w:rsidRPr="0075312C">
        <w:rPr>
          <w:b/>
          <w:bCs/>
        </w:rPr>
        <w:t>all for inputs on the general framework, architecture, and guiding principles of a</w:t>
      </w:r>
    </w:p>
    <w:p w14:paraId="19EE0505" w14:textId="77777777" w:rsidR="00A67E1C" w:rsidRPr="0075312C" w:rsidRDefault="00A67E1C" w:rsidP="0075312C">
      <w:pPr>
        <w:contextualSpacing/>
        <w:jc w:val="center"/>
        <w:rPr>
          <w:b/>
          <w:bCs/>
        </w:rPr>
      </w:pPr>
      <w:r w:rsidRPr="0075312C">
        <w:rPr>
          <w:b/>
          <w:bCs/>
        </w:rPr>
        <w:t>legally binding instrument on the human rights of older persons</w:t>
      </w:r>
    </w:p>
    <w:p w14:paraId="7FA0DA0C" w14:textId="77777777" w:rsidR="00A67E1C" w:rsidRPr="0075312C" w:rsidRDefault="00A67E1C" w:rsidP="0075312C">
      <w:pPr>
        <w:contextualSpacing/>
        <w:jc w:val="center"/>
        <w:rPr>
          <w:b/>
          <w:bCs/>
        </w:rPr>
      </w:pPr>
    </w:p>
    <w:p w14:paraId="6E686709" w14:textId="4231180F" w:rsidR="00A87EBB" w:rsidRDefault="000B70CC" w:rsidP="000B70CC">
      <w:pPr>
        <w:contextualSpacing/>
        <w:jc w:val="center"/>
        <w:rPr>
          <w:b/>
          <w:bCs/>
        </w:rPr>
      </w:pPr>
      <w:r>
        <w:rPr>
          <w:b/>
          <w:bCs/>
        </w:rPr>
        <w:t>Input from the Department of Health of Ireland</w:t>
      </w:r>
    </w:p>
    <w:p w14:paraId="7074CFF0" w14:textId="77777777" w:rsidR="000B70CC" w:rsidRDefault="000B70CC" w:rsidP="000B70CC">
      <w:pPr>
        <w:contextualSpacing/>
        <w:jc w:val="center"/>
      </w:pPr>
    </w:p>
    <w:p w14:paraId="6CBC5EC4" w14:textId="71CEBEA4" w:rsidR="00776C0A" w:rsidRDefault="00776C0A" w:rsidP="00776C0A">
      <w:pPr>
        <w:contextualSpacing/>
        <w:jc w:val="both"/>
      </w:pPr>
      <w:r>
        <w:t xml:space="preserve">The Government of Ireland </w:t>
      </w:r>
      <w:r w:rsidR="004B2B11">
        <w:t xml:space="preserve">supports the establishment of </w:t>
      </w:r>
      <w:r w:rsidR="00D176AB">
        <w:t>an</w:t>
      </w:r>
      <w:r w:rsidR="004B2B11">
        <w:t xml:space="preserve"> Intergovernmental Working Group on Older Persons </w:t>
      </w:r>
      <w:r w:rsidR="00D56FD3">
        <w:t xml:space="preserve">to develop a legally binding instrument on older persons’ human rights and </w:t>
      </w:r>
      <w:r>
        <w:t xml:space="preserve">welcomes the opportunity to provide input on the </w:t>
      </w:r>
      <w:r w:rsidRPr="00776C0A">
        <w:t xml:space="preserve">general framework, architecture, and guiding principles of </w:t>
      </w:r>
      <w:r>
        <w:t xml:space="preserve">the </w:t>
      </w:r>
      <w:r w:rsidR="00D56FD3">
        <w:t>instrument.</w:t>
      </w:r>
    </w:p>
    <w:p w14:paraId="451E39EE" w14:textId="77777777" w:rsidR="005A4BF9" w:rsidRDefault="005A4BF9" w:rsidP="00776C0A">
      <w:pPr>
        <w:contextualSpacing/>
        <w:jc w:val="both"/>
      </w:pPr>
    </w:p>
    <w:p w14:paraId="573F1720" w14:textId="20EA5CBB" w:rsidR="008D6B07" w:rsidRDefault="009B1A88" w:rsidP="008D6B07">
      <w:pPr>
        <w:contextualSpacing/>
        <w:jc w:val="both"/>
      </w:pPr>
      <w:r>
        <w:t xml:space="preserve">Within the context of increasing longevity and </w:t>
      </w:r>
      <w:r w:rsidR="00D53389">
        <w:t>population-</w:t>
      </w:r>
      <w:r>
        <w:t>ageing, there is a</w:t>
      </w:r>
      <w:r w:rsidR="00D53389">
        <w:t xml:space="preserve">n </w:t>
      </w:r>
      <w:r>
        <w:t>imperative</w:t>
      </w:r>
      <w:r w:rsidR="00D176AB">
        <w:t>, which was set in relief by the COVID-19 pandemic,</w:t>
      </w:r>
      <w:r>
        <w:t xml:space="preserve"> to develop a legally binding instrument</w:t>
      </w:r>
      <w:r w:rsidR="00D176AB">
        <w:t xml:space="preserve"> on older persons’ human rights</w:t>
      </w:r>
      <w:r>
        <w:t>.</w:t>
      </w:r>
      <w:r w:rsidR="00D56FD3">
        <w:t xml:space="preserve"> </w:t>
      </w:r>
      <w:r w:rsidR="008D6B07">
        <w:t xml:space="preserve"> </w:t>
      </w:r>
      <w:r w:rsidR="008D6B07" w:rsidRPr="008D6B07">
        <w:t>This pr</w:t>
      </w:r>
      <w:r w:rsidR="003A4445">
        <w:t>ovides</w:t>
      </w:r>
      <w:r w:rsidR="008D6B07" w:rsidRPr="008D6B07">
        <w:t xml:space="preserve"> an opportunity to address </w:t>
      </w:r>
      <w:r w:rsidR="003A4445">
        <w:t>shortcomings</w:t>
      </w:r>
      <w:r w:rsidR="008D6B07" w:rsidRPr="008D6B07">
        <w:t xml:space="preserve"> in existing human rights instruments by clearly demonstrating the specific ways in which the rights of older persons are violated and by developing effective mechanisms to protect and strengthen th</w:t>
      </w:r>
      <w:r w:rsidR="000D32F4">
        <w:t>e</w:t>
      </w:r>
      <w:r w:rsidR="008D6B07" w:rsidRPr="008D6B07">
        <w:t>se rights.</w:t>
      </w:r>
    </w:p>
    <w:p w14:paraId="5F21A2BC" w14:textId="77777777" w:rsidR="00340BFB" w:rsidRDefault="00340BFB" w:rsidP="008D6B07">
      <w:pPr>
        <w:contextualSpacing/>
        <w:jc w:val="both"/>
      </w:pPr>
    </w:p>
    <w:p w14:paraId="42CDC172" w14:textId="6502FA67" w:rsidR="004B2B11" w:rsidRDefault="004B2B11" w:rsidP="00776C0A">
      <w:pPr>
        <w:contextualSpacing/>
        <w:jc w:val="both"/>
      </w:pPr>
      <w:r>
        <w:t>The work</w:t>
      </w:r>
      <w:r w:rsidR="00D56FD3">
        <w:t xml:space="preserve"> of t</w:t>
      </w:r>
      <w:r>
        <w:t xml:space="preserve">he Open-Ended Working Group on Ageing </w:t>
      </w:r>
      <w:r w:rsidR="00D56FD3">
        <w:t xml:space="preserve">over a fourteen-year period </w:t>
      </w:r>
      <w:r>
        <w:t xml:space="preserve">provides a rich seam of material on which to draw in advancing this </w:t>
      </w:r>
      <w:r w:rsidR="00D56FD3">
        <w:t xml:space="preserve">important </w:t>
      </w:r>
      <w:r>
        <w:t>endeavour</w:t>
      </w:r>
      <w:r w:rsidR="00D56FD3">
        <w:t>, which the Government of Ireland</w:t>
      </w:r>
      <w:r w:rsidR="00D176AB">
        <w:t xml:space="preserve"> stands ready to support</w:t>
      </w:r>
      <w:r w:rsidR="00D56FD3">
        <w:t xml:space="preserve">. </w:t>
      </w:r>
    </w:p>
    <w:p w14:paraId="0A6893E0" w14:textId="77777777" w:rsidR="00776C0A" w:rsidRDefault="00776C0A" w:rsidP="0075312C">
      <w:pPr>
        <w:contextualSpacing/>
        <w:jc w:val="both"/>
      </w:pPr>
    </w:p>
    <w:p w14:paraId="2662EF44" w14:textId="1D38A2EC" w:rsidR="00A67E1C" w:rsidRPr="00A67E1C" w:rsidRDefault="00100D6E" w:rsidP="0075312C">
      <w:pPr>
        <w:contextualSpacing/>
        <w:jc w:val="both"/>
        <w:rPr>
          <w:b/>
          <w:bCs/>
          <w:i/>
          <w:iCs/>
        </w:rPr>
      </w:pPr>
      <w:r w:rsidRPr="00C97A56">
        <w:rPr>
          <w:b/>
          <w:bCs/>
          <w:i/>
          <w:iCs/>
        </w:rPr>
        <w:t xml:space="preserve">Q1: </w:t>
      </w:r>
      <w:r w:rsidR="00A67E1C" w:rsidRPr="00C97A56">
        <w:rPr>
          <w:b/>
          <w:bCs/>
          <w:i/>
          <w:iCs/>
        </w:rPr>
        <w:t>What overarching framework should guide the international legally binding instrument on the human rights of older persons? Additionally</w:t>
      </w:r>
      <w:r w:rsidR="00A67E1C" w:rsidRPr="00081F13">
        <w:rPr>
          <w:b/>
          <w:bCs/>
          <w:i/>
          <w:iCs/>
        </w:rPr>
        <w:t>, how can it best reflect and reinforce the recognition that older persons are rights-holders entitled to the full and equal enjoyment of all human rights and fundamental freedoms?</w:t>
      </w:r>
    </w:p>
    <w:p w14:paraId="404807C3" w14:textId="77777777" w:rsidR="00A67E1C" w:rsidRDefault="00A67E1C" w:rsidP="0075312C">
      <w:pPr>
        <w:contextualSpacing/>
        <w:jc w:val="both"/>
      </w:pPr>
    </w:p>
    <w:p w14:paraId="12D31F58" w14:textId="59F4464D" w:rsidR="005E4488" w:rsidRDefault="005E4488" w:rsidP="0075312C">
      <w:pPr>
        <w:contextualSpacing/>
        <w:jc w:val="both"/>
      </w:pPr>
      <w:r>
        <w:t>The international legally binding instrument on the human rights of older persons should t</w:t>
      </w:r>
      <w:r w:rsidR="00756EAB">
        <w:t>ak</w:t>
      </w:r>
      <w:r>
        <w:t>e</w:t>
      </w:r>
      <w:r w:rsidR="00756EAB">
        <w:t xml:space="preserve"> as its starting point existing United Nations</w:t>
      </w:r>
      <w:r w:rsidR="000C5B88">
        <w:t>’</w:t>
      </w:r>
      <w:r w:rsidR="00756EAB">
        <w:t xml:space="preserve"> human rights treaties as well as other relevant instruments on older persons’ human rights, </w:t>
      </w:r>
      <w:r w:rsidR="00EA4FC8">
        <w:t xml:space="preserve">such as the Inter-American Convention on Protecting the Human Rights of Older Persons (2015). It should </w:t>
      </w:r>
      <w:r>
        <w:t>affirm</w:t>
      </w:r>
      <w:r w:rsidR="00610B5A">
        <w:t xml:space="preserve"> that older persons hold</w:t>
      </w:r>
      <w:r>
        <w:t xml:space="preserve"> </w:t>
      </w:r>
      <w:r w:rsidR="004F29FC">
        <w:t xml:space="preserve">the full range of human rights and fundamental freedoms </w:t>
      </w:r>
      <w:r>
        <w:t>that the</w:t>
      </w:r>
      <w:r w:rsidR="00FE58D1">
        <w:t>se treaties and instruments</w:t>
      </w:r>
      <w:r>
        <w:t xml:space="preserve"> embody</w:t>
      </w:r>
      <w:r w:rsidR="008A39A2">
        <w:t xml:space="preserve"> and emphasise that older persons’ dignity is inviolable.</w:t>
      </w:r>
    </w:p>
    <w:p w14:paraId="20B03458" w14:textId="77777777" w:rsidR="005E4488" w:rsidRDefault="005E4488" w:rsidP="0075312C">
      <w:pPr>
        <w:contextualSpacing/>
        <w:jc w:val="both"/>
      </w:pPr>
    </w:p>
    <w:p w14:paraId="42D7372E" w14:textId="77777777" w:rsidR="00FD56D5" w:rsidRDefault="00FD56D5" w:rsidP="00FD56D5">
      <w:pPr>
        <w:contextualSpacing/>
        <w:jc w:val="both"/>
      </w:pPr>
      <w:r>
        <w:t xml:space="preserve">Asserting the inalienable right of older persons, in all their diversity, to the full and equal enjoyment of all human rights and fundamental freedoms, the legally binding instrument should also identify the specific barriers that older persons face in realising these rights and freedoms and detail the prevalent rights-violations that older persons experience, inhibiting their autonomy, agency and full participation in the economy and society. </w:t>
      </w:r>
      <w:r w:rsidRPr="00C97A56">
        <w:t xml:space="preserve">It should present a rights-based framework that will eliminate these barriers and strengthen the protection of older persons, envisioning </w:t>
      </w:r>
      <w:r>
        <w:t>older persons’ full enjoyment of their rights and freedoms.</w:t>
      </w:r>
    </w:p>
    <w:p w14:paraId="556CC683" w14:textId="77777777" w:rsidR="00FD56D5" w:rsidRPr="00A67E1C" w:rsidRDefault="00FD56D5" w:rsidP="00FD56D5">
      <w:pPr>
        <w:contextualSpacing/>
        <w:jc w:val="both"/>
      </w:pPr>
    </w:p>
    <w:p w14:paraId="3947E48C" w14:textId="77777777" w:rsidR="006069F1" w:rsidRDefault="006A2A08" w:rsidP="00C97A56">
      <w:pPr>
        <w:contextualSpacing/>
        <w:jc w:val="both"/>
      </w:pPr>
      <w:r>
        <w:lastRenderedPageBreak/>
        <w:t xml:space="preserve">The legally binding instrument should be premised on </w:t>
      </w:r>
      <w:r w:rsidR="00B81A33">
        <w:t xml:space="preserve">the </w:t>
      </w:r>
      <w:r>
        <w:t xml:space="preserve">recognition </w:t>
      </w:r>
      <w:r w:rsidR="00811B97">
        <w:t xml:space="preserve">that ageing is a natural and universal facet of the human condition </w:t>
      </w:r>
      <w:r w:rsidR="00B81A33">
        <w:t>which</w:t>
      </w:r>
      <w:r w:rsidR="00811B97">
        <w:t xml:space="preserve"> is not confined to a specific age-cohort of the population but rather a gradual, lifelong process</w:t>
      </w:r>
      <w:r w:rsidR="00807BBF">
        <w:t xml:space="preserve"> which affects everyone</w:t>
      </w:r>
      <w:r w:rsidR="00B81A33">
        <w:t xml:space="preserve">. It should also recognise </w:t>
      </w:r>
      <w:r>
        <w:t>that ‘old age’ is a social construct, the definition and experience of which is continually evolving in the context of increasing longevity</w:t>
      </w:r>
      <w:r w:rsidR="00B81A33">
        <w:t>, population-ageing and wider societal transformations.</w:t>
      </w:r>
    </w:p>
    <w:p w14:paraId="125611DE" w14:textId="77777777" w:rsidR="00115CD0" w:rsidRDefault="00115CD0" w:rsidP="00C97A56">
      <w:pPr>
        <w:contextualSpacing/>
        <w:jc w:val="both"/>
      </w:pPr>
    </w:p>
    <w:p w14:paraId="14B3FF4E" w14:textId="77777777" w:rsidR="00CD78FB" w:rsidRDefault="0022437A" w:rsidP="00115CD0">
      <w:pPr>
        <w:contextualSpacing/>
        <w:jc w:val="both"/>
      </w:pPr>
      <w:r>
        <w:t>Recognising that ageing intersects with other characteristics, such as gender and race, the legally binding instrument should be cognisant of distinction between, on the one hand, persons with pre-existing disabilities who age and, on the other hand, persons who acquire disabilities as they age. It should also be cognisant of the impact of the inequalities which accrue across the life-course on older persons’ health and wellbeing and quality of life.</w:t>
      </w:r>
    </w:p>
    <w:p w14:paraId="63F7E4AA" w14:textId="77777777" w:rsidR="00FD56D5" w:rsidRDefault="00FD56D5" w:rsidP="00115CD0">
      <w:pPr>
        <w:contextualSpacing/>
        <w:jc w:val="both"/>
      </w:pPr>
    </w:p>
    <w:p w14:paraId="412702CC" w14:textId="1AEF738C" w:rsidR="00A67E1C" w:rsidRPr="00A67E1C" w:rsidRDefault="00100D6E" w:rsidP="0075312C">
      <w:pPr>
        <w:contextualSpacing/>
        <w:jc w:val="both"/>
        <w:rPr>
          <w:b/>
          <w:bCs/>
          <w:i/>
          <w:iCs/>
        </w:rPr>
      </w:pPr>
      <w:r w:rsidRPr="00100D6E">
        <w:rPr>
          <w:b/>
          <w:bCs/>
          <w:i/>
          <w:iCs/>
        </w:rPr>
        <w:t xml:space="preserve">Q2: </w:t>
      </w:r>
      <w:r w:rsidR="00A67E1C" w:rsidRPr="00100D6E">
        <w:rPr>
          <w:b/>
          <w:bCs/>
          <w:i/>
          <w:iCs/>
        </w:rPr>
        <w:t xml:space="preserve">What core principles should underpin the legally binding instrument, to ensure it </w:t>
      </w:r>
      <w:r w:rsidR="00A67E1C" w:rsidRPr="00A67E1C">
        <w:rPr>
          <w:b/>
          <w:bCs/>
          <w:i/>
          <w:iCs/>
        </w:rPr>
        <w:t xml:space="preserve">effectively protects the rights of older persons? In addition, </w:t>
      </w:r>
      <w:r w:rsidR="00A67E1C" w:rsidRPr="00E71233">
        <w:rPr>
          <w:b/>
          <w:bCs/>
          <w:i/>
          <w:iCs/>
        </w:rPr>
        <w:t>how can the legally binding instrument both reaffirm existing human rights for older persons and clearly identify and address gaps where further normative development</w:t>
      </w:r>
      <w:r w:rsidR="00A67E1C" w:rsidRPr="00A67E1C">
        <w:rPr>
          <w:b/>
          <w:bCs/>
          <w:i/>
          <w:iCs/>
        </w:rPr>
        <w:t xml:space="preserve"> is required?</w:t>
      </w:r>
    </w:p>
    <w:p w14:paraId="62786384" w14:textId="77777777" w:rsidR="00A67E1C" w:rsidRDefault="00A67E1C" w:rsidP="0075312C">
      <w:pPr>
        <w:contextualSpacing/>
        <w:jc w:val="both"/>
      </w:pPr>
    </w:p>
    <w:p w14:paraId="09AB5AD9" w14:textId="5CC5A055" w:rsidR="00A67E1C" w:rsidRDefault="00137271" w:rsidP="00107E06">
      <w:pPr>
        <w:contextualSpacing/>
        <w:jc w:val="both"/>
      </w:pPr>
      <w:r>
        <w:t>The core principl</w:t>
      </w:r>
      <w:r w:rsidR="003A4445">
        <w:t>e</w:t>
      </w:r>
      <w:r>
        <w:t xml:space="preserve">s underpinning the legally binding instrument </w:t>
      </w:r>
      <w:r w:rsidR="00756EAB">
        <w:t xml:space="preserve">on </w:t>
      </w:r>
      <w:r>
        <w:t>older persons</w:t>
      </w:r>
      <w:r w:rsidR="00756EAB">
        <w:t>’ human rights</w:t>
      </w:r>
      <w:r>
        <w:t xml:space="preserve"> should encompass:</w:t>
      </w:r>
    </w:p>
    <w:p w14:paraId="168550B8" w14:textId="77777777" w:rsidR="005040B7" w:rsidRDefault="005040B7" w:rsidP="00107E06">
      <w:pPr>
        <w:contextualSpacing/>
        <w:jc w:val="both"/>
      </w:pPr>
    </w:p>
    <w:p w14:paraId="29387B2E" w14:textId="397D3FC2" w:rsidR="00CF548E" w:rsidRDefault="00CF548E" w:rsidP="00107E06">
      <w:pPr>
        <w:pStyle w:val="a9"/>
        <w:numPr>
          <w:ilvl w:val="0"/>
          <w:numId w:val="4"/>
        </w:numPr>
        <w:jc w:val="both"/>
      </w:pPr>
      <w:r>
        <w:t>Inviolability of human rights</w:t>
      </w:r>
      <w:r w:rsidR="0024446B">
        <w:t xml:space="preserve"> and fundamental freedoms</w:t>
      </w:r>
    </w:p>
    <w:p w14:paraId="34607524" w14:textId="3AF6CD8D" w:rsidR="00137271" w:rsidRDefault="00137271" w:rsidP="00107E06">
      <w:pPr>
        <w:pStyle w:val="a9"/>
        <w:numPr>
          <w:ilvl w:val="0"/>
          <w:numId w:val="4"/>
        </w:numPr>
        <w:jc w:val="both"/>
      </w:pPr>
      <w:r>
        <w:t>Non-discrimination</w:t>
      </w:r>
    </w:p>
    <w:p w14:paraId="5CC19D18" w14:textId="14B953A3" w:rsidR="00137271" w:rsidRDefault="00137271" w:rsidP="00107E06">
      <w:pPr>
        <w:pStyle w:val="a9"/>
        <w:numPr>
          <w:ilvl w:val="0"/>
          <w:numId w:val="4"/>
        </w:numPr>
        <w:jc w:val="both"/>
      </w:pPr>
      <w:r>
        <w:t>Equality</w:t>
      </w:r>
    </w:p>
    <w:p w14:paraId="20659F4A" w14:textId="6B3BB01C" w:rsidR="00137271" w:rsidRDefault="00DB180E" w:rsidP="00107E06">
      <w:pPr>
        <w:pStyle w:val="a9"/>
        <w:numPr>
          <w:ilvl w:val="0"/>
          <w:numId w:val="4"/>
        </w:numPr>
        <w:jc w:val="both"/>
      </w:pPr>
      <w:r>
        <w:t>Respect for d</w:t>
      </w:r>
      <w:r w:rsidR="00137271">
        <w:t>ignity,</w:t>
      </w:r>
      <w:r w:rsidR="00906D57">
        <w:t xml:space="preserve"> privacy,</w:t>
      </w:r>
      <w:r w:rsidR="00137271">
        <w:t xml:space="preserve"> </w:t>
      </w:r>
      <w:r>
        <w:t xml:space="preserve">individual </w:t>
      </w:r>
      <w:r w:rsidR="00137271">
        <w:t>autonomy and independence</w:t>
      </w:r>
    </w:p>
    <w:p w14:paraId="13ABCC10" w14:textId="77777777" w:rsidR="00043889" w:rsidRDefault="00043889" w:rsidP="00107E06">
      <w:pPr>
        <w:pStyle w:val="a9"/>
        <w:numPr>
          <w:ilvl w:val="0"/>
          <w:numId w:val="4"/>
        </w:numPr>
        <w:jc w:val="both"/>
      </w:pPr>
      <w:r>
        <w:t>Inclusion and integration</w:t>
      </w:r>
    </w:p>
    <w:p w14:paraId="10396727" w14:textId="6AD360B7" w:rsidR="00043889" w:rsidRDefault="00043889" w:rsidP="00107E06">
      <w:pPr>
        <w:pStyle w:val="a9"/>
        <w:numPr>
          <w:ilvl w:val="0"/>
          <w:numId w:val="4"/>
        </w:numPr>
        <w:jc w:val="both"/>
      </w:pPr>
      <w:r>
        <w:t>Solidarity</w:t>
      </w:r>
    </w:p>
    <w:p w14:paraId="2690705F" w14:textId="02AAA6C0" w:rsidR="00043889" w:rsidRDefault="00043889" w:rsidP="00107E06">
      <w:pPr>
        <w:pStyle w:val="a9"/>
        <w:numPr>
          <w:ilvl w:val="0"/>
          <w:numId w:val="4"/>
        </w:numPr>
        <w:jc w:val="both"/>
      </w:pPr>
      <w:r>
        <w:t>Accessibility</w:t>
      </w:r>
    </w:p>
    <w:p w14:paraId="06784A1E" w14:textId="2FB1338A" w:rsidR="00043889" w:rsidRDefault="00043889" w:rsidP="00107E06">
      <w:pPr>
        <w:pStyle w:val="a9"/>
        <w:numPr>
          <w:ilvl w:val="0"/>
          <w:numId w:val="4"/>
        </w:numPr>
        <w:jc w:val="both"/>
      </w:pPr>
      <w:r>
        <w:t>Care and wellbeing</w:t>
      </w:r>
    </w:p>
    <w:p w14:paraId="307C4C91" w14:textId="5F9D6815" w:rsidR="00396C1D" w:rsidRPr="00A67E1C" w:rsidRDefault="00043889" w:rsidP="00396C1D">
      <w:pPr>
        <w:pStyle w:val="a9"/>
        <w:numPr>
          <w:ilvl w:val="0"/>
          <w:numId w:val="4"/>
        </w:numPr>
        <w:jc w:val="both"/>
      </w:pPr>
      <w:r>
        <w:t>Security and protection</w:t>
      </w:r>
    </w:p>
    <w:p w14:paraId="20925BF1" w14:textId="77777777" w:rsidR="00D165FF" w:rsidRDefault="00D165FF" w:rsidP="0075312C">
      <w:pPr>
        <w:contextualSpacing/>
        <w:jc w:val="both"/>
      </w:pPr>
    </w:p>
    <w:p w14:paraId="375F0F88" w14:textId="33B858A0" w:rsidR="00993EE5" w:rsidRDefault="00EA4FC8" w:rsidP="0075312C">
      <w:pPr>
        <w:contextualSpacing/>
        <w:jc w:val="both"/>
      </w:pPr>
      <w:r>
        <w:t xml:space="preserve">While reaffirming the full range of universal human rights and fundamental freedoms to which older persons are entitled, as embodied in existing </w:t>
      </w:r>
      <w:r w:rsidR="000C5B88">
        <w:t xml:space="preserve">international </w:t>
      </w:r>
      <w:r>
        <w:t xml:space="preserve">treaties and instruments, the international legally binding instrument should nevertheless recognise </w:t>
      </w:r>
      <w:r w:rsidR="00582B8B">
        <w:t xml:space="preserve">the widespread violations of older persons’ human rights, the </w:t>
      </w:r>
      <w:r w:rsidR="000C3BCB">
        <w:t>limitations of the international human rights framework to uphold these rights</w:t>
      </w:r>
      <w:r w:rsidR="00081F13">
        <w:t>,</w:t>
      </w:r>
      <w:r w:rsidR="000C3BCB">
        <w:t xml:space="preserve"> and the inadequate national and international legal and policy responses to </w:t>
      </w:r>
      <w:r w:rsidR="0081502A">
        <w:t>these rights-violations</w:t>
      </w:r>
      <w:r>
        <w:t xml:space="preserve">. It should </w:t>
      </w:r>
      <w:r w:rsidR="000C3BCB">
        <w:t>address the gaps in existing rights treati</w:t>
      </w:r>
      <w:r w:rsidR="00081F13">
        <w:t>es</w:t>
      </w:r>
      <w:r w:rsidR="0081502A">
        <w:t xml:space="preserve"> and, as necessary</w:t>
      </w:r>
      <w:r w:rsidR="00081F13">
        <w:t>,</w:t>
      </w:r>
      <w:r w:rsidR="0081502A">
        <w:t xml:space="preserve"> re-conceptualise existing rights to affirm the inviolability of the human rights of older pe</w:t>
      </w:r>
      <w:r w:rsidR="00617D5D">
        <w:t>rsons</w:t>
      </w:r>
      <w:r w:rsidR="0081502A">
        <w:t xml:space="preserve"> in all their diversity.</w:t>
      </w:r>
    </w:p>
    <w:p w14:paraId="1045FE0C" w14:textId="77777777" w:rsidR="001A28A4" w:rsidRDefault="001A28A4" w:rsidP="0075312C">
      <w:pPr>
        <w:contextualSpacing/>
        <w:jc w:val="both"/>
      </w:pPr>
    </w:p>
    <w:p w14:paraId="3EB65720" w14:textId="77777777" w:rsidR="001A28A4" w:rsidRDefault="001A28A4" w:rsidP="001A28A4">
      <w:pPr>
        <w:contextualSpacing/>
        <w:jc w:val="both"/>
      </w:pPr>
      <w:r>
        <w:t xml:space="preserve">Moreover, the legally binding instrument must be comprehensive and transformative, not only obligating States to uphold older persons’ human rights but also presenting a future-oriented vision for change that is responsive to increasing longevity, to the increasing diversity of older persons in ageing societies, to the rapid pace of technological advancement (inclusive of the opportunities and challenges presented by artificial </w:t>
      </w:r>
      <w:r>
        <w:lastRenderedPageBreak/>
        <w:t xml:space="preserve">intelligence) and to rising expectations with regards to older persons’ quality of life, the prevalence of socio-economic inequalities notwithstanding. </w:t>
      </w:r>
    </w:p>
    <w:p w14:paraId="40166276" w14:textId="77777777" w:rsidR="00D165FF" w:rsidRDefault="00D165FF" w:rsidP="00D165FF">
      <w:pPr>
        <w:contextualSpacing/>
        <w:jc w:val="both"/>
      </w:pPr>
    </w:p>
    <w:p w14:paraId="1F97AB31" w14:textId="77777777" w:rsidR="003D3AC8" w:rsidRDefault="00D165FF" w:rsidP="00D165FF">
      <w:pPr>
        <w:contextualSpacing/>
        <w:jc w:val="both"/>
      </w:pPr>
      <w:r>
        <w:t>All societies have ageing populations due to the worldwide successes of childhood vaccination, food programmes, education, reproductive rights and other factors. This is an achievement to be celebrated, especially given the enormous contribution that older persons make to society and to the economy. However, this worldwide demographic trend will pose a particular challenge for developing countries within which the infrastructure for the provision of pensions, healthcare and other supports for older persons is undeveloped. Accordingly, there is an imperative for the legally binding instrument to recognise that, as populations in poorer countries age, older persons will be a vulnerable group.</w:t>
      </w:r>
    </w:p>
    <w:p w14:paraId="4904E411" w14:textId="77777777" w:rsidR="003D3AC8" w:rsidRDefault="003D3AC8" w:rsidP="00D165FF">
      <w:pPr>
        <w:contextualSpacing/>
        <w:jc w:val="both"/>
      </w:pPr>
    </w:p>
    <w:p w14:paraId="633C9FE6" w14:textId="2B0EBCFC" w:rsidR="00D165FF" w:rsidRDefault="00D165FF" w:rsidP="00D165FF">
      <w:pPr>
        <w:contextualSpacing/>
        <w:jc w:val="both"/>
      </w:pPr>
      <w:r>
        <w:t>As highlighted by</w:t>
      </w:r>
      <w:r w:rsidR="00E27C87">
        <w:t xml:space="preserve"> the disproportionate impact of the COVID-19 pandemic on older persons, </w:t>
      </w:r>
      <w:r>
        <w:t xml:space="preserve">there is </w:t>
      </w:r>
      <w:r w:rsidR="00E27C87">
        <w:t xml:space="preserve">also </w:t>
      </w:r>
      <w:r>
        <w:t>a need for the inclusion of a dedicated article within the legally binding instrument on situations of risk and humanitarian emergencies which will ensure that the rights of older persons in such situations are respected, protected and fulfilled at all times.</w:t>
      </w:r>
      <w:r>
        <w:rPr>
          <w:rStyle w:val="af1"/>
        </w:rPr>
        <w:footnoteReference w:id="5"/>
      </w:r>
    </w:p>
    <w:p w14:paraId="1058EF0A" w14:textId="77777777" w:rsidR="003A34C8" w:rsidRDefault="003A34C8" w:rsidP="0075312C">
      <w:pPr>
        <w:contextualSpacing/>
        <w:jc w:val="both"/>
      </w:pPr>
    </w:p>
    <w:p w14:paraId="2192B7E1" w14:textId="5E502B84" w:rsidR="003A34C8" w:rsidRDefault="005305EA" w:rsidP="0075312C">
      <w:pPr>
        <w:contextualSpacing/>
        <w:jc w:val="both"/>
      </w:pPr>
      <w:r>
        <w:t>The provision of health and social care services should be focused on empowering older pe</w:t>
      </w:r>
      <w:r w:rsidR="00FD56D5">
        <w:t>rsons</w:t>
      </w:r>
      <w:r>
        <w:t xml:space="preserve"> to optimise their functional ability and to live independent lives in accordance with their wishes.</w:t>
      </w:r>
      <w:r w:rsidRPr="007F3E93">
        <w:t xml:space="preserve"> </w:t>
      </w:r>
      <w:r w:rsidR="00024C30">
        <w:t>Accordingly, t</w:t>
      </w:r>
      <w:r w:rsidR="00FD56D5">
        <w:t xml:space="preserve">he legally binding instrument should enshrine older persons’ right to social inclusion and their right to health and equity of access to health services, inclusive of the establishment of legislative, administrative and substantive entitlements to person-centred, consensual, home and community-based care services and supports. </w:t>
      </w:r>
      <w:r w:rsidR="003A34C8">
        <w:t xml:space="preserve">In order to protect older persons from inhuman or degrading treatment and from arbitrary detention, both of which routinely occur through institutionalising forms of care, the legally binding instrument should </w:t>
      </w:r>
      <w:r w:rsidR="00FD56D5">
        <w:t xml:space="preserve">also </w:t>
      </w:r>
      <w:r w:rsidR="00903ADB">
        <w:t>require States to take all necessary measures to prevent older persons’ institutionalisation for care-purposes</w:t>
      </w:r>
      <w:r w:rsidR="00D91E73">
        <w:t>.</w:t>
      </w:r>
      <w:r w:rsidR="00D91E73">
        <w:rPr>
          <w:rStyle w:val="af1"/>
        </w:rPr>
        <w:footnoteReference w:id="6"/>
      </w:r>
      <w:r w:rsidR="00775CCF">
        <w:t xml:space="preserve"> </w:t>
      </w:r>
      <w:r w:rsidR="007F3E93">
        <w:t xml:space="preserve">Consideration may need to be given to whether or not </w:t>
      </w:r>
      <w:r w:rsidR="00903ADB">
        <w:t xml:space="preserve">to enshrine in the legally binding instrument </w:t>
      </w:r>
      <w:r w:rsidR="007F3E93">
        <w:t>the right to an assisted death.</w:t>
      </w:r>
      <w:r>
        <w:t xml:space="preserve"> </w:t>
      </w:r>
    </w:p>
    <w:p w14:paraId="3C89A51B" w14:textId="77777777" w:rsidR="00993EE5" w:rsidRDefault="00993EE5" w:rsidP="0075312C">
      <w:pPr>
        <w:contextualSpacing/>
        <w:jc w:val="both"/>
      </w:pPr>
    </w:p>
    <w:p w14:paraId="7E0D4CDC" w14:textId="7EA667A8" w:rsidR="00493561" w:rsidRDefault="00493561" w:rsidP="0075312C">
      <w:pPr>
        <w:contextualSpacing/>
        <w:jc w:val="both"/>
      </w:pPr>
      <w:r>
        <w:t>While it is</w:t>
      </w:r>
      <w:r w:rsidR="00D91E73">
        <w:t xml:space="preserve"> nevertheless</w:t>
      </w:r>
      <w:r>
        <w:t xml:space="preserve"> </w:t>
      </w:r>
      <w:r w:rsidR="00024C30">
        <w:t>recognis</w:t>
      </w:r>
      <w:r>
        <w:t xml:space="preserve">ed that fiscal constraints will constrain States’ </w:t>
      </w:r>
      <w:r w:rsidR="00CE2F7E">
        <w:t xml:space="preserve">responsiveness to the progressive realisation of older persons’ socio-economic rights, for example in the domain of health and social care, it should be acknowledged that this will not be the case for the realisation of older persons’ civil and political rights. </w:t>
      </w:r>
    </w:p>
    <w:p w14:paraId="1C5288C4" w14:textId="77777777" w:rsidR="00493561" w:rsidRDefault="00493561" w:rsidP="0075312C">
      <w:pPr>
        <w:contextualSpacing/>
        <w:jc w:val="both"/>
      </w:pPr>
    </w:p>
    <w:p w14:paraId="2C27FD20" w14:textId="77777777" w:rsidR="00CE2F7E" w:rsidRDefault="0081502A" w:rsidP="0075312C">
      <w:pPr>
        <w:contextualSpacing/>
        <w:jc w:val="both"/>
      </w:pPr>
      <w:r>
        <w:t xml:space="preserve">In particular, the legally binding instrument </w:t>
      </w:r>
      <w:r w:rsidR="00617D5D">
        <w:t>should</w:t>
      </w:r>
      <w:r>
        <w:t xml:space="preserve"> recognise that discrimination on the basis of age and ageism are violation</w:t>
      </w:r>
      <w:r w:rsidR="00756EAB">
        <w:t>s</w:t>
      </w:r>
      <w:r>
        <w:t xml:space="preserve"> of older persons’ fundamental rights to equality and human dignity</w:t>
      </w:r>
      <w:r w:rsidR="00617D5D">
        <w:t>. In order to address these rights-violations</w:t>
      </w:r>
      <w:r w:rsidR="00B41A53">
        <w:t xml:space="preserve"> and recognising that ageism and age-discrimination </w:t>
      </w:r>
      <w:r w:rsidR="00EA4FC8">
        <w:t xml:space="preserve">are </w:t>
      </w:r>
      <w:r w:rsidR="00B41A53">
        <w:t xml:space="preserve">manifest structurally in laws and institutions as well </w:t>
      </w:r>
      <w:r w:rsidR="00B41A53">
        <w:lastRenderedPageBreak/>
        <w:t xml:space="preserve">as being internalised </w:t>
      </w:r>
      <w:r w:rsidR="00EA4FC8">
        <w:t>and</w:t>
      </w:r>
      <w:r w:rsidR="00B41A53">
        <w:t xml:space="preserve"> manifest in interpersonal relations</w:t>
      </w:r>
      <w:r w:rsidR="00617D5D">
        <w:t xml:space="preserve">, </w:t>
      </w:r>
      <w:r w:rsidR="00B41A53">
        <w:t>the legally binding instrument</w:t>
      </w:r>
      <w:r w:rsidR="00617D5D">
        <w:t xml:space="preserve"> should </w:t>
      </w:r>
      <w:r w:rsidR="007C3633">
        <w:t>impose explicit obligations</w:t>
      </w:r>
      <w:r w:rsidR="00756EAB">
        <w:t xml:space="preserve"> on State</w:t>
      </w:r>
      <w:r w:rsidR="00807BBF">
        <w:t>s</w:t>
      </w:r>
      <w:r w:rsidR="007C3633">
        <w:t xml:space="preserve"> to prohibit and prevent ageism and age-discrimination </w:t>
      </w:r>
      <w:r w:rsidR="00756EAB">
        <w:t xml:space="preserve">across the </w:t>
      </w:r>
      <w:r w:rsidR="007C3633">
        <w:t>public and private sectors</w:t>
      </w:r>
      <w:r w:rsidR="00B41A53">
        <w:t xml:space="preserve"> in all domains, including</w:t>
      </w:r>
      <w:r w:rsidR="001F4D12">
        <w:t xml:space="preserve">, </w:t>
      </w:r>
      <w:r w:rsidR="001F4D12" w:rsidRPr="001F4D12">
        <w:rPr>
          <w:i/>
          <w:iCs/>
        </w:rPr>
        <w:t>inter alia</w:t>
      </w:r>
      <w:r w:rsidR="001F4D12">
        <w:t xml:space="preserve">, </w:t>
      </w:r>
      <w:r w:rsidR="00B41A53">
        <w:t>education, employment, public and political engagement</w:t>
      </w:r>
      <w:r w:rsidR="001F4D12">
        <w:t>,</w:t>
      </w:r>
      <w:r w:rsidR="00B41A53">
        <w:t xml:space="preserve"> and health</w:t>
      </w:r>
      <w:r w:rsidR="001F4D12">
        <w:t xml:space="preserve"> and social care</w:t>
      </w:r>
      <w:r w:rsidR="007C3633">
        <w:t>.</w:t>
      </w:r>
    </w:p>
    <w:p w14:paraId="55927DA7" w14:textId="77777777" w:rsidR="00CE2F7E" w:rsidRDefault="00CE2F7E" w:rsidP="0075312C">
      <w:pPr>
        <w:contextualSpacing/>
        <w:jc w:val="both"/>
      </w:pPr>
    </w:p>
    <w:p w14:paraId="7D844D1B" w14:textId="77777777" w:rsidR="00FD56D5" w:rsidRDefault="00493561" w:rsidP="0075312C">
      <w:pPr>
        <w:contextualSpacing/>
        <w:jc w:val="both"/>
      </w:pPr>
      <w:r>
        <w:t>For example, w</w:t>
      </w:r>
      <w:r w:rsidR="00CD56AF">
        <w:t>ithin the context of the rise in average life-expectancy</w:t>
      </w:r>
      <w:r w:rsidR="00BA3A92">
        <w:t xml:space="preserve"> to the mid-80s in western Europe, the continuation of the imposition of mandatory retirement at a specified age is clear violation of older persons’ right to work that is based on age-discrimination.</w:t>
      </w:r>
      <w:r w:rsidR="00BA3A92">
        <w:rPr>
          <w:rStyle w:val="af1"/>
        </w:rPr>
        <w:footnoteReference w:id="7"/>
      </w:r>
      <w:r w:rsidR="00BA3A92">
        <w:t xml:space="preserve"> It is</w:t>
      </w:r>
      <w:r w:rsidR="00FD56D5">
        <w:t xml:space="preserve"> therefore</w:t>
      </w:r>
      <w:r w:rsidR="00BA3A92">
        <w:t xml:space="preserve"> imperative that the legally binding instrument imposes obligations on States to abolish mandatory retirement.</w:t>
      </w:r>
      <w:r>
        <w:rPr>
          <w:rStyle w:val="af1"/>
        </w:rPr>
        <w:footnoteReference w:id="8"/>
      </w:r>
    </w:p>
    <w:p w14:paraId="25B74AB7" w14:textId="77777777" w:rsidR="00FD56D5" w:rsidRDefault="00FD56D5" w:rsidP="0075312C">
      <w:pPr>
        <w:contextualSpacing/>
        <w:jc w:val="both"/>
      </w:pPr>
    </w:p>
    <w:p w14:paraId="0995D2A5" w14:textId="3BCFDDCA" w:rsidR="00CD56AF" w:rsidRDefault="00CE2F7E" w:rsidP="0075312C">
      <w:pPr>
        <w:contextualSpacing/>
        <w:jc w:val="both"/>
      </w:pPr>
      <w:r>
        <w:t xml:space="preserve">Similarly, there is currently widespread age-discrimination in the insurance industry, which is permitted under EU law, resulting in older persons being unable to obtain insurance of various types (for example travel or motor insurance) or being offered such insurance with prohibitively high </w:t>
      </w:r>
      <w:r w:rsidR="00903ADB">
        <w:t xml:space="preserve">insurance </w:t>
      </w:r>
      <w:r>
        <w:t xml:space="preserve">premia. </w:t>
      </w:r>
      <w:r w:rsidR="00124931">
        <w:t xml:space="preserve">More broadly there is an imperative to </w:t>
      </w:r>
      <w:r w:rsidR="00FD56D5">
        <w:t xml:space="preserve">strengthen </w:t>
      </w:r>
      <w:r w:rsidR="00124931">
        <w:t>consumer</w:t>
      </w:r>
      <w:r w:rsidR="00903ADB">
        <w:t>-</w:t>
      </w:r>
      <w:r w:rsidR="00124931">
        <w:t xml:space="preserve">protection for older persons including, for instance, to ensure that </w:t>
      </w:r>
      <w:r w:rsidR="00903ADB">
        <w:t xml:space="preserve">those </w:t>
      </w:r>
      <w:r w:rsidR="00124931">
        <w:t>who purchase housing</w:t>
      </w:r>
      <w:r w:rsidR="00FD56D5">
        <w:t>-</w:t>
      </w:r>
      <w:r w:rsidR="00124931">
        <w:t>with</w:t>
      </w:r>
      <w:r w:rsidR="00FD56D5">
        <w:t>-</w:t>
      </w:r>
      <w:r w:rsidR="00124931">
        <w:t>support</w:t>
      </w:r>
      <w:r w:rsidR="00FD56D5">
        <w:t xml:space="preserve"> packages</w:t>
      </w:r>
      <w:r w:rsidR="00124931">
        <w:t xml:space="preserve"> receive the services to which they are entitled.</w:t>
      </w:r>
    </w:p>
    <w:p w14:paraId="42E6692E" w14:textId="77777777" w:rsidR="00CD56AF" w:rsidRDefault="00CD56AF" w:rsidP="0075312C">
      <w:pPr>
        <w:contextualSpacing/>
        <w:jc w:val="both"/>
      </w:pPr>
    </w:p>
    <w:p w14:paraId="393CD903" w14:textId="06F13E27" w:rsidR="00582B8B" w:rsidRDefault="00076CF6" w:rsidP="0075312C">
      <w:pPr>
        <w:contextualSpacing/>
        <w:jc w:val="both"/>
      </w:pPr>
      <w:r>
        <w:t xml:space="preserve">Emphasising the imperative for older persons’ autonomy to be respected and enabled, </w:t>
      </w:r>
      <w:r w:rsidR="00993EE5">
        <w:t>t</w:t>
      </w:r>
      <w:r>
        <w:t>he legally binding instrument</w:t>
      </w:r>
      <w:r w:rsidR="00993EE5">
        <w:t xml:space="preserve"> should </w:t>
      </w:r>
      <w:r w:rsidR="00FD56D5">
        <w:t xml:space="preserve">ensure unfettered access to goods and services regardless of a person’s age (or other characteristics that intersect with age), geographical location or digital connectedness. It should also </w:t>
      </w:r>
      <w:r w:rsidR="00993EE5">
        <w:t>mandate strong State mechanisms for older persons’ protection from abuse</w:t>
      </w:r>
      <w:r w:rsidR="00FD56D5">
        <w:t>.</w:t>
      </w:r>
    </w:p>
    <w:p w14:paraId="5B339A88" w14:textId="77777777" w:rsidR="0081753E" w:rsidRPr="00A67E1C" w:rsidRDefault="0081753E" w:rsidP="0075312C">
      <w:pPr>
        <w:contextualSpacing/>
        <w:jc w:val="both"/>
      </w:pPr>
    </w:p>
    <w:p w14:paraId="159DE9B4" w14:textId="48E9F15B" w:rsidR="00A67E1C" w:rsidRPr="00100D6E" w:rsidRDefault="00100D6E" w:rsidP="0075312C">
      <w:pPr>
        <w:contextualSpacing/>
        <w:jc w:val="both"/>
        <w:rPr>
          <w:b/>
          <w:bCs/>
          <w:i/>
          <w:iCs/>
        </w:rPr>
      </w:pPr>
      <w:r w:rsidRPr="00100D6E">
        <w:rPr>
          <w:b/>
          <w:bCs/>
          <w:i/>
          <w:iCs/>
        </w:rPr>
        <w:t xml:space="preserve">Q3: </w:t>
      </w:r>
      <w:r w:rsidR="00A67E1C" w:rsidRPr="00100D6E">
        <w:rPr>
          <w:b/>
          <w:bCs/>
          <w:i/>
          <w:iCs/>
        </w:rPr>
        <w:t>What overall structure or architecture should the legally binding instrument adopt to ensure clarity and effectiveness? For example, should it include a preamble, definitions, general principles, general obligations, specific rights, and implementation provisions?</w:t>
      </w:r>
    </w:p>
    <w:p w14:paraId="0D568161" w14:textId="77777777" w:rsidR="00A67E1C" w:rsidRDefault="00A67E1C" w:rsidP="0075312C">
      <w:pPr>
        <w:contextualSpacing/>
      </w:pPr>
    </w:p>
    <w:p w14:paraId="12BEB92A" w14:textId="113F498E" w:rsidR="002B1320" w:rsidRDefault="002B1320" w:rsidP="002B1320">
      <w:pPr>
        <w:contextualSpacing/>
        <w:jc w:val="both"/>
      </w:pPr>
      <w:r>
        <w:t xml:space="preserve">The overall structure for the legally binding instrument </w:t>
      </w:r>
      <w:r w:rsidR="005040B7">
        <w:t xml:space="preserve">should </w:t>
      </w:r>
      <w:r>
        <w:t>encompass the following sections:</w:t>
      </w:r>
    </w:p>
    <w:p w14:paraId="3F5DEA89" w14:textId="77777777" w:rsidR="005040B7" w:rsidRDefault="005040B7" w:rsidP="002B1320">
      <w:pPr>
        <w:contextualSpacing/>
        <w:jc w:val="both"/>
      </w:pPr>
    </w:p>
    <w:p w14:paraId="1078C6F0" w14:textId="5833DC99" w:rsidR="002B1320" w:rsidRDefault="002B1320" w:rsidP="002B1320">
      <w:pPr>
        <w:pStyle w:val="a9"/>
        <w:numPr>
          <w:ilvl w:val="0"/>
          <w:numId w:val="4"/>
        </w:numPr>
        <w:jc w:val="both"/>
      </w:pPr>
      <w:r>
        <w:t>Preamble</w:t>
      </w:r>
    </w:p>
    <w:p w14:paraId="12C5622E" w14:textId="58A2AE53" w:rsidR="002B1320" w:rsidRDefault="002B1320" w:rsidP="002B1320">
      <w:pPr>
        <w:pStyle w:val="a9"/>
        <w:numPr>
          <w:ilvl w:val="0"/>
          <w:numId w:val="4"/>
        </w:numPr>
        <w:jc w:val="both"/>
      </w:pPr>
      <w:r>
        <w:t>Purpose and scope</w:t>
      </w:r>
    </w:p>
    <w:p w14:paraId="20D85322" w14:textId="740690B3" w:rsidR="002B1320" w:rsidRDefault="002B1320" w:rsidP="002B1320">
      <w:pPr>
        <w:pStyle w:val="a9"/>
        <w:numPr>
          <w:ilvl w:val="0"/>
          <w:numId w:val="4"/>
        </w:numPr>
        <w:jc w:val="both"/>
      </w:pPr>
      <w:r>
        <w:t>Concepts and definitions</w:t>
      </w:r>
    </w:p>
    <w:p w14:paraId="31A33C95" w14:textId="3AEA081B" w:rsidR="002B1320" w:rsidRDefault="002B1320" w:rsidP="002B1320">
      <w:pPr>
        <w:pStyle w:val="a9"/>
        <w:numPr>
          <w:ilvl w:val="0"/>
          <w:numId w:val="4"/>
        </w:numPr>
        <w:jc w:val="both"/>
      </w:pPr>
      <w:r>
        <w:t>General principles</w:t>
      </w:r>
    </w:p>
    <w:p w14:paraId="107A5087" w14:textId="3F45CEFF" w:rsidR="002B1320" w:rsidRDefault="002B1320" w:rsidP="002B1320">
      <w:pPr>
        <w:pStyle w:val="a9"/>
        <w:numPr>
          <w:ilvl w:val="0"/>
          <w:numId w:val="4"/>
        </w:numPr>
        <w:jc w:val="both"/>
      </w:pPr>
      <w:r>
        <w:t>General obligations of States</w:t>
      </w:r>
    </w:p>
    <w:p w14:paraId="0DCFF2FD" w14:textId="7422E8A5" w:rsidR="002B1320" w:rsidRDefault="002B1320" w:rsidP="002B1320">
      <w:pPr>
        <w:pStyle w:val="a9"/>
        <w:numPr>
          <w:ilvl w:val="0"/>
          <w:numId w:val="4"/>
        </w:numPr>
        <w:jc w:val="both"/>
      </w:pPr>
      <w:r>
        <w:t>Specific human rights to be included</w:t>
      </w:r>
    </w:p>
    <w:p w14:paraId="38EFC35B" w14:textId="7A44043D" w:rsidR="002B1320" w:rsidRPr="00A67E1C" w:rsidRDefault="002B1320" w:rsidP="002B1320">
      <w:pPr>
        <w:pStyle w:val="a9"/>
        <w:numPr>
          <w:ilvl w:val="0"/>
          <w:numId w:val="4"/>
        </w:numPr>
        <w:jc w:val="both"/>
      </w:pPr>
      <w:r>
        <w:t>Implementation and monitoring</w:t>
      </w:r>
      <w:r w:rsidR="005040B7">
        <w:t>, including data-collection and accountability mechanisms</w:t>
      </w:r>
    </w:p>
    <w:sectPr w:rsidR="002B1320" w:rsidRPr="00A67E1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A5E8" w14:textId="77777777" w:rsidR="0024226E" w:rsidRDefault="0024226E" w:rsidP="0075312C">
      <w:r>
        <w:separator/>
      </w:r>
    </w:p>
  </w:endnote>
  <w:endnote w:type="continuationSeparator" w:id="0">
    <w:p w14:paraId="6453CB9E" w14:textId="77777777" w:rsidR="0024226E" w:rsidRDefault="0024226E" w:rsidP="0075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151567"/>
      <w:docPartObj>
        <w:docPartGallery w:val="Page Numbers (Bottom of Page)"/>
        <w:docPartUnique/>
      </w:docPartObj>
    </w:sdtPr>
    <w:sdtContent>
      <w:p w14:paraId="3855043C" w14:textId="73597E14" w:rsidR="000C6C51" w:rsidRDefault="000C6C51">
        <w:pPr>
          <w:pStyle w:val="ac"/>
        </w:pPr>
        <w:r>
          <w:fldChar w:fldCharType="begin"/>
        </w:r>
        <w:r>
          <w:instrText>PAGE   \* MERGEFORMAT</w:instrText>
        </w:r>
        <w:r>
          <w:fldChar w:fldCharType="separate"/>
        </w:r>
        <w:r>
          <w:rPr>
            <w:lang w:val="ja-JP" w:eastAsia="ja-JP"/>
          </w:rPr>
          <w:t>2</w:t>
        </w:r>
        <w:r>
          <w:fldChar w:fldCharType="end"/>
        </w:r>
      </w:p>
    </w:sdtContent>
  </w:sdt>
  <w:p w14:paraId="649904B7" w14:textId="77777777" w:rsidR="0075312C" w:rsidRDefault="0075312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CA14" w14:textId="77777777" w:rsidR="0024226E" w:rsidRDefault="0024226E" w:rsidP="0075312C">
      <w:r>
        <w:separator/>
      </w:r>
    </w:p>
  </w:footnote>
  <w:footnote w:type="continuationSeparator" w:id="0">
    <w:p w14:paraId="7528C172" w14:textId="77777777" w:rsidR="0024226E" w:rsidRDefault="0024226E" w:rsidP="0075312C">
      <w:r>
        <w:continuationSeparator/>
      </w:r>
    </w:p>
  </w:footnote>
  <w:footnote w:id="1">
    <w:p w14:paraId="14F2668A" w14:textId="298EB8C3" w:rsidR="0032684F" w:rsidRPr="0032684F" w:rsidRDefault="0032684F" w:rsidP="0032684F">
      <w:pPr>
        <w:pStyle w:val="Web"/>
      </w:pPr>
      <w:r>
        <w:rPr>
          <w:rStyle w:val="af1"/>
        </w:rPr>
        <w:footnoteRef/>
      </w:r>
      <w:r>
        <w:t xml:space="preserve"> </w:t>
      </w:r>
      <w:r w:rsidRPr="0032684F">
        <w:rPr>
          <w:sz w:val="18"/>
          <w:szCs w:val="18"/>
        </w:rPr>
        <w:t xml:space="preserve">Dug Cubie </w:t>
      </w:r>
      <w:r>
        <w:rPr>
          <w:rFonts w:hint="eastAsia"/>
          <w:sz w:val="18"/>
          <w:szCs w:val="18"/>
        </w:rPr>
        <w:t>と</w:t>
      </w:r>
      <w:r w:rsidRPr="0032684F">
        <w:rPr>
          <w:sz w:val="18"/>
          <w:szCs w:val="18"/>
        </w:rPr>
        <w:t xml:space="preserve"> Natalie Baird の論文「</w:t>
      </w:r>
      <w:hyperlink r:id="rId1" w:history="1">
        <w:r w:rsidRPr="0032684F">
          <w:rPr>
            <w:color w:val="0000FF"/>
            <w:sz w:val="18"/>
            <w:szCs w:val="18"/>
            <w:u w:val="single"/>
          </w:rPr>
          <w:t>提案されている『高齢者の権利に関する国連条約』を通じた、リスク状況および人道上の緊急事態における高齢者の権利の保護</w:t>
        </w:r>
      </w:hyperlink>
      <w:r w:rsidRPr="0032684F">
        <w:rPr>
          <w:sz w:val="18"/>
          <w:szCs w:val="18"/>
        </w:rPr>
        <w:t>」、『</w:t>
      </w:r>
      <w:r w:rsidRPr="0032684F">
        <w:rPr>
          <w:i/>
          <w:iCs/>
          <w:sz w:val="18"/>
          <w:szCs w:val="18"/>
        </w:rPr>
        <w:t>Human Rights Law Review</w:t>
      </w:r>
      <w:r w:rsidRPr="0032684F">
        <w:rPr>
          <w:sz w:val="18"/>
          <w:szCs w:val="18"/>
        </w:rPr>
        <w:t>』、26巻2号（2026）、1–23頁参照。</w:t>
      </w:r>
    </w:p>
    <w:p w14:paraId="61FA3B76" w14:textId="32548BA2" w:rsidR="0032684F" w:rsidRDefault="0032684F">
      <w:pPr>
        <w:pStyle w:val="af"/>
        <w:rPr>
          <w:rFonts w:hint="eastAsia"/>
          <w:lang w:eastAsia="ja-JP"/>
        </w:rPr>
      </w:pPr>
    </w:p>
  </w:footnote>
  <w:footnote w:id="2">
    <w:p w14:paraId="1A3A1DAB" w14:textId="146208E2" w:rsidR="003F20FE" w:rsidRDefault="003F20FE" w:rsidP="003F20FE">
      <w:pPr>
        <w:pStyle w:val="Web"/>
        <w:spacing w:before="0" w:beforeAutospacing="0" w:after="0" w:afterAutospacing="0"/>
        <w:rPr>
          <w:rFonts w:hint="eastAsia"/>
        </w:rPr>
      </w:pPr>
      <w:r>
        <w:rPr>
          <w:rStyle w:val="af1"/>
        </w:rPr>
        <w:footnoteRef/>
      </w:r>
      <w:r>
        <w:t xml:space="preserve"> </w:t>
      </w:r>
      <w:r w:rsidRPr="003F20FE">
        <w:rPr>
          <w:sz w:val="18"/>
          <w:szCs w:val="18"/>
        </w:rPr>
        <w:t>Age Platform Europeおよびゴールウェイ大学アイルランド人権センター</w:t>
      </w:r>
      <w:r>
        <w:rPr>
          <w:rFonts w:hint="eastAsia"/>
          <w:sz w:val="18"/>
          <w:szCs w:val="18"/>
        </w:rPr>
        <w:t>「</w:t>
      </w:r>
      <w:hyperlink r:id="rId2" w:history="1">
        <w:r w:rsidRPr="003F20FE">
          <w:rPr>
            <w:color w:val="0000FF"/>
            <w:sz w:val="18"/>
            <w:szCs w:val="18"/>
            <w:u w:val="single"/>
          </w:rPr>
          <w:t>Age Platform Europeとゴールウェイ大学アイルランド人権センターによる、国連高齢化問題無期限作業部会第14回会合への提出文書</w:t>
        </w:r>
      </w:hyperlink>
      <w:r>
        <w:rPr>
          <w:rFonts w:hint="eastAsia"/>
          <w:sz w:val="18"/>
          <w:szCs w:val="18"/>
        </w:rPr>
        <w:t>」</w:t>
      </w:r>
      <w:r w:rsidRPr="003F20FE">
        <w:rPr>
          <w:sz w:val="18"/>
          <w:szCs w:val="18"/>
        </w:rPr>
        <w:t>（2024年4月12日）参照。</w:t>
      </w:r>
    </w:p>
  </w:footnote>
  <w:footnote w:id="3">
    <w:p w14:paraId="33DDAA98" w14:textId="5CF91DDF" w:rsidR="003F20FE" w:rsidRDefault="003F20FE" w:rsidP="003F20FE">
      <w:pPr>
        <w:pStyle w:val="Web"/>
        <w:spacing w:before="0" w:beforeAutospacing="0" w:after="0" w:afterAutospacing="0"/>
        <w:rPr>
          <w:rFonts w:hint="eastAsia"/>
        </w:rPr>
      </w:pPr>
      <w:r>
        <w:rPr>
          <w:rStyle w:val="af1"/>
        </w:rPr>
        <w:footnoteRef/>
      </w:r>
      <w:r>
        <w:t xml:space="preserve"> </w:t>
      </w:r>
      <w:r>
        <w:rPr>
          <w:rFonts w:hint="eastAsia"/>
          <w:sz w:val="18"/>
          <w:szCs w:val="18"/>
        </w:rPr>
        <w:t>ヨーロッパ統計局</w:t>
      </w:r>
      <w:r w:rsidRPr="003F20FE">
        <w:rPr>
          <w:sz w:val="18"/>
          <w:szCs w:val="18"/>
        </w:rPr>
        <w:t>「</w:t>
      </w:r>
      <w:hyperlink r:id="rId3" w:history="1">
        <w:r w:rsidRPr="003F20FE">
          <w:rPr>
            <w:color w:val="0000FF"/>
            <w:sz w:val="18"/>
            <w:szCs w:val="18"/>
            <w:u w:val="single"/>
          </w:rPr>
          <w:t>年齢・性別別の平均寿命</w:t>
        </w:r>
      </w:hyperlink>
      <w:r w:rsidRPr="003F20FE">
        <w:rPr>
          <w:sz w:val="18"/>
          <w:szCs w:val="18"/>
        </w:rPr>
        <w:t>」を参照。</w:t>
      </w:r>
    </w:p>
  </w:footnote>
  <w:footnote w:id="4">
    <w:p w14:paraId="0EDBC20F" w14:textId="24B1C384" w:rsidR="003F20FE" w:rsidRPr="003F20FE" w:rsidRDefault="003F20FE" w:rsidP="003F20FE">
      <w:pPr>
        <w:pStyle w:val="Web"/>
        <w:spacing w:before="0" w:beforeAutospacing="0" w:after="0" w:afterAutospacing="0"/>
        <w:rPr>
          <w:sz w:val="18"/>
          <w:szCs w:val="18"/>
        </w:rPr>
      </w:pPr>
      <w:r w:rsidRPr="003F20FE">
        <w:rPr>
          <w:rStyle w:val="af1"/>
          <w:sz w:val="18"/>
          <w:szCs w:val="18"/>
        </w:rPr>
        <w:footnoteRef/>
      </w:r>
      <w:r w:rsidRPr="003F20FE">
        <w:rPr>
          <w:sz w:val="18"/>
          <w:szCs w:val="18"/>
        </w:rPr>
        <w:t xml:space="preserve"> </w:t>
      </w:r>
      <w:r w:rsidRPr="003F20FE">
        <w:rPr>
          <w:sz w:val="18"/>
          <w:szCs w:val="18"/>
        </w:rPr>
        <w:t>Age Actionの『</w:t>
      </w:r>
      <w:hyperlink r:id="rId4" w:history="1">
        <w:r w:rsidRPr="003F20FE">
          <w:rPr>
            <w:color w:val="0000FF"/>
            <w:sz w:val="18"/>
            <w:szCs w:val="18"/>
            <w:u w:val="single"/>
          </w:rPr>
          <w:t>アイルランドにおける定年制廃止の論拠</w:t>
        </w:r>
      </w:hyperlink>
      <w:r w:rsidRPr="003F20FE">
        <w:rPr>
          <w:sz w:val="18"/>
          <w:szCs w:val="18"/>
        </w:rPr>
        <w:t>』を参照。</w:t>
      </w:r>
    </w:p>
    <w:p w14:paraId="04AF7EE0" w14:textId="1FB07A6A" w:rsidR="003F20FE" w:rsidRDefault="003F20FE">
      <w:pPr>
        <w:pStyle w:val="af"/>
        <w:rPr>
          <w:rFonts w:hint="eastAsia"/>
          <w:lang w:eastAsia="ja-JP"/>
        </w:rPr>
      </w:pPr>
    </w:p>
  </w:footnote>
  <w:footnote w:id="5">
    <w:p w14:paraId="27CF330B" w14:textId="32B0A188" w:rsidR="00D165FF" w:rsidRDefault="00D165FF" w:rsidP="00D165FF">
      <w:pPr>
        <w:pStyle w:val="af"/>
        <w:jc w:val="both"/>
      </w:pPr>
      <w:r>
        <w:rPr>
          <w:rStyle w:val="af1"/>
        </w:rPr>
        <w:footnoteRef/>
      </w:r>
      <w:r>
        <w:t xml:space="preserve"> </w:t>
      </w:r>
      <w:r w:rsidR="00E27C87">
        <w:t xml:space="preserve">See </w:t>
      </w:r>
      <w:r>
        <w:t>Dug Cubie and Natalie Baird, ‘</w:t>
      </w:r>
      <w:hyperlink r:id="rId5" w:history="1">
        <w:r w:rsidRPr="00A47A1B">
          <w:rPr>
            <w:rStyle w:val="af2"/>
          </w:rPr>
          <w:t>Protecting the Rights of Older Persons in Situations of Risk and Humanitarian Emergencies Through the Proposed UN Convention on the Rights of Older Persons</w:t>
        </w:r>
      </w:hyperlink>
      <w:r>
        <w:t xml:space="preserve">’, </w:t>
      </w:r>
      <w:r w:rsidRPr="00BF0278">
        <w:rPr>
          <w:i/>
          <w:iCs/>
        </w:rPr>
        <w:t>Human Rights Law Review</w:t>
      </w:r>
      <w:r>
        <w:t>, 26/2 (2026): 1</w:t>
      </w:r>
      <w:r>
        <w:rPr>
          <w:rFonts w:ascii="Aptos Narrow" w:hAnsi="Aptos Narrow"/>
        </w:rPr>
        <w:t>–</w:t>
      </w:r>
      <w:r>
        <w:t>23.</w:t>
      </w:r>
    </w:p>
  </w:footnote>
  <w:footnote w:id="6">
    <w:p w14:paraId="686ED219" w14:textId="264885BA" w:rsidR="00D91E73" w:rsidRDefault="00D91E73">
      <w:pPr>
        <w:pStyle w:val="af"/>
      </w:pPr>
      <w:r>
        <w:rPr>
          <w:rStyle w:val="af1"/>
        </w:rPr>
        <w:footnoteRef/>
      </w:r>
      <w:r>
        <w:t xml:space="preserve"> See Age Platform Europe and Irish Centre for Human Rights, University of Galway, ‘</w:t>
      </w:r>
      <w:hyperlink r:id="rId6" w:history="1">
        <w:r w:rsidR="00D1156C" w:rsidRPr="00D1156C">
          <w:rPr>
            <w:rStyle w:val="af2"/>
          </w:rPr>
          <w:t>Submission by AGE Platform Europe in Collaboration with Irish Centre for Human Rights, University of Galway to Fourteenth Session of the United Nations Open-Ended Working Group on Ageing’</w:t>
        </w:r>
      </w:hyperlink>
      <w:r w:rsidR="00D1156C">
        <w:t>, 12</w:t>
      </w:r>
      <w:r w:rsidR="00D1156C" w:rsidRPr="00AC5312">
        <w:rPr>
          <w:vertAlign w:val="superscript"/>
        </w:rPr>
        <w:t>th</w:t>
      </w:r>
      <w:r w:rsidR="00D1156C">
        <w:t xml:space="preserve"> April 2024.</w:t>
      </w:r>
    </w:p>
  </w:footnote>
  <w:footnote w:id="7">
    <w:p w14:paraId="35F39B62" w14:textId="06174B82" w:rsidR="00BA3A92" w:rsidRDefault="00BA3A92">
      <w:pPr>
        <w:pStyle w:val="af"/>
      </w:pPr>
      <w:r>
        <w:rPr>
          <w:rStyle w:val="af1"/>
        </w:rPr>
        <w:footnoteRef/>
      </w:r>
      <w:r>
        <w:t xml:space="preserve"> See Eurostat, ‘</w:t>
      </w:r>
      <w:hyperlink r:id="rId7" w:history="1">
        <w:r w:rsidRPr="00D1156C">
          <w:rPr>
            <w:rStyle w:val="af2"/>
          </w:rPr>
          <w:t>Life-</w:t>
        </w:r>
        <w:r w:rsidR="00D1156C" w:rsidRPr="00D1156C">
          <w:rPr>
            <w:rStyle w:val="af2"/>
          </w:rPr>
          <w:t>E</w:t>
        </w:r>
        <w:r w:rsidRPr="00D1156C">
          <w:rPr>
            <w:rStyle w:val="af2"/>
          </w:rPr>
          <w:t xml:space="preserve">xpectancy by </w:t>
        </w:r>
        <w:r w:rsidR="00D1156C" w:rsidRPr="00D1156C">
          <w:rPr>
            <w:rStyle w:val="af2"/>
          </w:rPr>
          <w:t>A</w:t>
        </w:r>
        <w:r w:rsidRPr="00D1156C">
          <w:rPr>
            <w:rStyle w:val="af2"/>
          </w:rPr>
          <w:t xml:space="preserve">ge and </w:t>
        </w:r>
        <w:r w:rsidR="00D1156C" w:rsidRPr="00D1156C">
          <w:rPr>
            <w:rStyle w:val="af2"/>
          </w:rPr>
          <w:t>S</w:t>
        </w:r>
        <w:r w:rsidRPr="00D1156C">
          <w:rPr>
            <w:rStyle w:val="af2"/>
          </w:rPr>
          <w:t>ex’</w:t>
        </w:r>
      </w:hyperlink>
      <w:r w:rsidR="00D1156C">
        <w:t>.</w:t>
      </w:r>
    </w:p>
  </w:footnote>
  <w:footnote w:id="8">
    <w:p w14:paraId="43107C08" w14:textId="351DDE0C" w:rsidR="00493561" w:rsidRDefault="00493561" w:rsidP="00493561">
      <w:pPr>
        <w:pStyle w:val="af"/>
      </w:pPr>
      <w:r>
        <w:rPr>
          <w:rStyle w:val="af1"/>
        </w:rPr>
        <w:footnoteRef/>
      </w:r>
      <w:r>
        <w:t xml:space="preserve"> </w:t>
      </w:r>
      <w:r w:rsidR="00D1156C">
        <w:t>S</w:t>
      </w:r>
      <w:r>
        <w:t>ee Age Action, ‘</w:t>
      </w:r>
      <w:hyperlink r:id="rId8" w:history="1">
        <w:r w:rsidRPr="00D1156C">
          <w:rPr>
            <w:rStyle w:val="af2"/>
          </w:rPr>
          <w:t>The Case for Abolishing Mandatory Retirement in Ireland’</w:t>
        </w:r>
      </w:hyperlink>
      <w:r w:rsidR="00D1156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96FC1"/>
    <w:multiLevelType w:val="hybridMultilevel"/>
    <w:tmpl w:val="A61CFD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E0D1805"/>
    <w:multiLevelType w:val="hybridMultilevel"/>
    <w:tmpl w:val="BF4652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6DE42B1"/>
    <w:multiLevelType w:val="hybridMultilevel"/>
    <w:tmpl w:val="7272F1CC"/>
    <w:lvl w:ilvl="0" w:tplc="4984A646">
      <w:start w:val="3"/>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0E97C4E"/>
    <w:multiLevelType w:val="hybridMultilevel"/>
    <w:tmpl w:val="9146CB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55494453">
    <w:abstractNumId w:val="1"/>
  </w:num>
  <w:num w:numId="2" w16cid:durableId="1922373666">
    <w:abstractNumId w:val="0"/>
  </w:num>
  <w:num w:numId="3" w16cid:durableId="975529024">
    <w:abstractNumId w:val="3"/>
  </w:num>
  <w:num w:numId="4" w16cid:durableId="1571891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CA"/>
    <w:rsid w:val="00024C30"/>
    <w:rsid w:val="00025FD5"/>
    <w:rsid w:val="00033E42"/>
    <w:rsid w:val="00043889"/>
    <w:rsid w:val="0006478C"/>
    <w:rsid w:val="00076521"/>
    <w:rsid w:val="00076CF6"/>
    <w:rsid w:val="00081F13"/>
    <w:rsid w:val="000B70CC"/>
    <w:rsid w:val="000C3BCB"/>
    <w:rsid w:val="000C5B88"/>
    <w:rsid w:val="000C6C51"/>
    <w:rsid w:val="000D32F4"/>
    <w:rsid w:val="00100D6E"/>
    <w:rsid w:val="00107E06"/>
    <w:rsid w:val="00115CD0"/>
    <w:rsid w:val="00124931"/>
    <w:rsid w:val="00132CFF"/>
    <w:rsid w:val="00137271"/>
    <w:rsid w:val="00141CA7"/>
    <w:rsid w:val="00152754"/>
    <w:rsid w:val="001771D1"/>
    <w:rsid w:val="00187CA1"/>
    <w:rsid w:val="001A28A4"/>
    <w:rsid w:val="001D35CA"/>
    <w:rsid w:val="001F4D12"/>
    <w:rsid w:val="0022437A"/>
    <w:rsid w:val="0024226E"/>
    <w:rsid w:val="0024446B"/>
    <w:rsid w:val="00277582"/>
    <w:rsid w:val="00286DF2"/>
    <w:rsid w:val="002A35F2"/>
    <w:rsid w:val="002B1320"/>
    <w:rsid w:val="002B19CA"/>
    <w:rsid w:val="002C55D6"/>
    <w:rsid w:val="002E7698"/>
    <w:rsid w:val="002E7899"/>
    <w:rsid w:val="0032684F"/>
    <w:rsid w:val="00332FF6"/>
    <w:rsid w:val="00340BFB"/>
    <w:rsid w:val="00351E76"/>
    <w:rsid w:val="00396C1D"/>
    <w:rsid w:val="003A34C8"/>
    <w:rsid w:val="003A4445"/>
    <w:rsid w:val="003C4D69"/>
    <w:rsid w:val="003C51D6"/>
    <w:rsid w:val="003D3AC8"/>
    <w:rsid w:val="003F20FE"/>
    <w:rsid w:val="0043759F"/>
    <w:rsid w:val="00446D94"/>
    <w:rsid w:val="004625E1"/>
    <w:rsid w:val="0046394F"/>
    <w:rsid w:val="00473E9E"/>
    <w:rsid w:val="00475812"/>
    <w:rsid w:val="00492986"/>
    <w:rsid w:val="00493561"/>
    <w:rsid w:val="004B2B11"/>
    <w:rsid w:val="004F29FC"/>
    <w:rsid w:val="005040B7"/>
    <w:rsid w:val="005305EA"/>
    <w:rsid w:val="005354D5"/>
    <w:rsid w:val="00547FA9"/>
    <w:rsid w:val="00582B8B"/>
    <w:rsid w:val="00590AE5"/>
    <w:rsid w:val="005A4A10"/>
    <w:rsid w:val="005A4BF9"/>
    <w:rsid w:val="005B79A8"/>
    <w:rsid w:val="005E214C"/>
    <w:rsid w:val="005E4488"/>
    <w:rsid w:val="005F609E"/>
    <w:rsid w:val="00605146"/>
    <w:rsid w:val="006069F1"/>
    <w:rsid w:val="00610B5A"/>
    <w:rsid w:val="00617D5D"/>
    <w:rsid w:val="00636F42"/>
    <w:rsid w:val="0064192C"/>
    <w:rsid w:val="006452A2"/>
    <w:rsid w:val="006A2A08"/>
    <w:rsid w:val="006F35AF"/>
    <w:rsid w:val="00704CEA"/>
    <w:rsid w:val="00735CE8"/>
    <w:rsid w:val="0075228F"/>
    <w:rsid w:val="0075312C"/>
    <w:rsid w:val="00756EAB"/>
    <w:rsid w:val="00775CCF"/>
    <w:rsid w:val="00776C0A"/>
    <w:rsid w:val="007C3633"/>
    <w:rsid w:val="007C4B82"/>
    <w:rsid w:val="007C692E"/>
    <w:rsid w:val="007D2147"/>
    <w:rsid w:val="007F3E93"/>
    <w:rsid w:val="007F41B0"/>
    <w:rsid w:val="007F62C2"/>
    <w:rsid w:val="00807BBF"/>
    <w:rsid w:val="00807E65"/>
    <w:rsid w:val="00811B97"/>
    <w:rsid w:val="0081502A"/>
    <w:rsid w:val="0081753E"/>
    <w:rsid w:val="008432AF"/>
    <w:rsid w:val="00844D23"/>
    <w:rsid w:val="00847AFF"/>
    <w:rsid w:val="00897A71"/>
    <w:rsid w:val="008A39A2"/>
    <w:rsid w:val="008D6B07"/>
    <w:rsid w:val="008E574C"/>
    <w:rsid w:val="00903ADB"/>
    <w:rsid w:val="00903F4F"/>
    <w:rsid w:val="00906D57"/>
    <w:rsid w:val="00993EE5"/>
    <w:rsid w:val="009B1A88"/>
    <w:rsid w:val="009D4D3E"/>
    <w:rsid w:val="00A47A1B"/>
    <w:rsid w:val="00A67E1C"/>
    <w:rsid w:val="00A80934"/>
    <w:rsid w:val="00A87EBB"/>
    <w:rsid w:val="00AB1B69"/>
    <w:rsid w:val="00AC5312"/>
    <w:rsid w:val="00AD6463"/>
    <w:rsid w:val="00AE129A"/>
    <w:rsid w:val="00B04010"/>
    <w:rsid w:val="00B11B92"/>
    <w:rsid w:val="00B41A53"/>
    <w:rsid w:val="00B81A33"/>
    <w:rsid w:val="00BA3A92"/>
    <w:rsid w:val="00BC74B0"/>
    <w:rsid w:val="00C124B6"/>
    <w:rsid w:val="00C50957"/>
    <w:rsid w:val="00C80FD9"/>
    <w:rsid w:val="00C97A56"/>
    <w:rsid w:val="00CA2ED6"/>
    <w:rsid w:val="00CD56AF"/>
    <w:rsid w:val="00CD78FB"/>
    <w:rsid w:val="00CE2F7E"/>
    <w:rsid w:val="00CE4788"/>
    <w:rsid w:val="00CF548E"/>
    <w:rsid w:val="00D1156C"/>
    <w:rsid w:val="00D165FF"/>
    <w:rsid w:val="00D176AB"/>
    <w:rsid w:val="00D53389"/>
    <w:rsid w:val="00D56FD3"/>
    <w:rsid w:val="00D61491"/>
    <w:rsid w:val="00D63DFF"/>
    <w:rsid w:val="00D744D4"/>
    <w:rsid w:val="00D91E73"/>
    <w:rsid w:val="00DB180E"/>
    <w:rsid w:val="00DD3428"/>
    <w:rsid w:val="00E16A40"/>
    <w:rsid w:val="00E27C87"/>
    <w:rsid w:val="00E71233"/>
    <w:rsid w:val="00EA39F1"/>
    <w:rsid w:val="00EA4FC8"/>
    <w:rsid w:val="00EC317D"/>
    <w:rsid w:val="00F100E2"/>
    <w:rsid w:val="00F12725"/>
    <w:rsid w:val="00F31CCC"/>
    <w:rsid w:val="00F54A6E"/>
    <w:rsid w:val="00F66948"/>
    <w:rsid w:val="00F66D41"/>
    <w:rsid w:val="00F70D0E"/>
    <w:rsid w:val="00F8058A"/>
    <w:rsid w:val="00FD56D5"/>
    <w:rsid w:val="00FE58D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A9EE85"/>
  <w15:chartTrackingRefBased/>
  <w15:docId w15:val="{6A60DFE2-17F5-472C-BD32-E879EB7A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3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3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35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35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35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35C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35C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35C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35C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35CA"/>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1D35CA"/>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1D35CA"/>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1D35CA"/>
    <w:rPr>
      <w:rFonts w:eastAsiaTheme="majorEastAsia" w:cstheme="majorBidi"/>
      <w:i/>
      <w:iCs/>
      <w:color w:val="0F4761" w:themeColor="accent1" w:themeShade="BF"/>
    </w:rPr>
  </w:style>
  <w:style w:type="character" w:customStyle="1" w:styleId="50">
    <w:name w:val="見出し 5 (文字)"/>
    <w:basedOn w:val="a0"/>
    <w:link w:val="5"/>
    <w:uiPriority w:val="9"/>
    <w:semiHidden/>
    <w:rsid w:val="001D35CA"/>
    <w:rPr>
      <w:rFonts w:eastAsiaTheme="majorEastAsia" w:cstheme="majorBidi"/>
      <w:color w:val="0F4761" w:themeColor="accent1" w:themeShade="BF"/>
    </w:rPr>
  </w:style>
  <w:style w:type="character" w:customStyle="1" w:styleId="60">
    <w:name w:val="見出し 6 (文字)"/>
    <w:basedOn w:val="a0"/>
    <w:link w:val="6"/>
    <w:uiPriority w:val="9"/>
    <w:semiHidden/>
    <w:rsid w:val="001D35CA"/>
    <w:rPr>
      <w:rFonts w:eastAsiaTheme="majorEastAsia" w:cstheme="majorBidi"/>
      <w:i/>
      <w:iCs/>
      <w:color w:val="595959" w:themeColor="text1" w:themeTint="A6"/>
    </w:rPr>
  </w:style>
  <w:style w:type="character" w:customStyle="1" w:styleId="70">
    <w:name w:val="見出し 7 (文字)"/>
    <w:basedOn w:val="a0"/>
    <w:link w:val="7"/>
    <w:uiPriority w:val="9"/>
    <w:semiHidden/>
    <w:rsid w:val="001D35CA"/>
    <w:rPr>
      <w:rFonts w:eastAsiaTheme="majorEastAsia" w:cstheme="majorBidi"/>
      <w:color w:val="595959" w:themeColor="text1" w:themeTint="A6"/>
    </w:rPr>
  </w:style>
  <w:style w:type="character" w:customStyle="1" w:styleId="80">
    <w:name w:val="見出し 8 (文字)"/>
    <w:basedOn w:val="a0"/>
    <w:link w:val="8"/>
    <w:uiPriority w:val="9"/>
    <w:semiHidden/>
    <w:rsid w:val="001D35CA"/>
    <w:rPr>
      <w:rFonts w:eastAsiaTheme="majorEastAsia" w:cstheme="majorBidi"/>
      <w:i/>
      <w:iCs/>
      <w:color w:val="272727" w:themeColor="text1" w:themeTint="D8"/>
    </w:rPr>
  </w:style>
  <w:style w:type="character" w:customStyle="1" w:styleId="90">
    <w:name w:val="見出し 9 (文字)"/>
    <w:basedOn w:val="a0"/>
    <w:link w:val="9"/>
    <w:uiPriority w:val="9"/>
    <w:semiHidden/>
    <w:rsid w:val="001D35CA"/>
    <w:rPr>
      <w:rFonts w:eastAsiaTheme="majorEastAsia" w:cstheme="majorBidi"/>
      <w:color w:val="272727" w:themeColor="text1" w:themeTint="D8"/>
    </w:rPr>
  </w:style>
  <w:style w:type="paragraph" w:styleId="a3">
    <w:name w:val="Title"/>
    <w:basedOn w:val="a"/>
    <w:next w:val="a"/>
    <w:link w:val="a4"/>
    <w:uiPriority w:val="10"/>
    <w:qFormat/>
    <w:rsid w:val="001D35CA"/>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3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5CA"/>
    <w:pPr>
      <w:numPr>
        <w:ilvl w:val="1"/>
      </w:numPr>
      <w:spacing w:after="160"/>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1D35C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35CA"/>
    <w:pPr>
      <w:spacing w:before="160" w:after="160"/>
      <w:jc w:val="center"/>
    </w:pPr>
    <w:rPr>
      <w:i/>
      <w:iCs/>
      <w:color w:val="404040" w:themeColor="text1" w:themeTint="BF"/>
    </w:rPr>
  </w:style>
  <w:style w:type="character" w:customStyle="1" w:styleId="a8">
    <w:name w:val="引用文 (文字)"/>
    <w:basedOn w:val="a0"/>
    <w:link w:val="a7"/>
    <w:uiPriority w:val="29"/>
    <w:rsid w:val="001D35CA"/>
    <w:rPr>
      <w:i/>
      <w:iCs/>
      <w:color w:val="404040" w:themeColor="text1" w:themeTint="BF"/>
    </w:rPr>
  </w:style>
  <w:style w:type="paragraph" w:styleId="a9">
    <w:name w:val="List Paragraph"/>
    <w:basedOn w:val="a"/>
    <w:uiPriority w:val="34"/>
    <w:qFormat/>
    <w:rsid w:val="001D35CA"/>
    <w:pPr>
      <w:ind w:left="720"/>
      <w:contextualSpacing/>
    </w:pPr>
  </w:style>
  <w:style w:type="character" w:styleId="21">
    <w:name w:val="Intense Emphasis"/>
    <w:basedOn w:val="a0"/>
    <w:uiPriority w:val="21"/>
    <w:qFormat/>
    <w:rsid w:val="001D35CA"/>
    <w:rPr>
      <w:i/>
      <w:iCs/>
      <w:color w:val="0F4761" w:themeColor="accent1" w:themeShade="BF"/>
    </w:rPr>
  </w:style>
  <w:style w:type="paragraph" w:styleId="22">
    <w:name w:val="Intense Quote"/>
    <w:basedOn w:val="a"/>
    <w:next w:val="a"/>
    <w:link w:val="23"/>
    <w:uiPriority w:val="30"/>
    <w:qFormat/>
    <w:rsid w:val="001D3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35CA"/>
    <w:rPr>
      <w:i/>
      <w:iCs/>
      <w:color w:val="0F4761" w:themeColor="accent1" w:themeShade="BF"/>
    </w:rPr>
  </w:style>
  <w:style w:type="character" w:styleId="24">
    <w:name w:val="Intense Reference"/>
    <w:basedOn w:val="a0"/>
    <w:uiPriority w:val="32"/>
    <w:qFormat/>
    <w:rsid w:val="001D35CA"/>
    <w:rPr>
      <w:b/>
      <w:bCs/>
      <w:smallCaps/>
      <w:color w:val="0F4761" w:themeColor="accent1" w:themeShade="BF"/>
      <w:spacing w:val="5"/>
    </w:rPr>
  </w:style>
  <w:style w:type="paragraph" w:styleId="aa">
    <w:name w:val="header"/>
    <w:basedOn w:val="a"/>
    <w:link w:val="ab"/>
    <w:uiPriority w:val="99"/>
    <w:unhideWhenUsed/>
    <w:rsid w:val="0075312C"/>
    <w:pPr>
      <w:tabs>
        <w:tab w:val="center" w:pos="4513"/>
        <w:tab w:val="right" w:pos="9026"/>
      </w:tabs>
    </w:pPr>
  </w:style>
  <w:style w:type="character" w:customStyle="1" w:styleId="ab">
    <w:name w:val="ヘッダー (文字)"/>
    <w:basedOn w:val="a0"/>
    <w:link w:val="aa"/>
    <w:uiPriority w:val="99"/>
    <w:rsid w:val="0075312C"/>
  </w:style>
  <w:style w:type="paragraph" w:styleId="ac">
    <w:name w:val="footer"/>
    <w:basedOn w:val="a"/>
    <w:link w:val="ad"/>
    <w:uiPriority w:val="99"/>
    <w:unhideWhenUsed/>
    <w:rsid w:val="0075312C"/>
    <w:pPr>
      <w:tabs>
        <w:tab w:val="center" w:pos="4513"/>
        <w:tab w:val="right" w:pos="9026"/>
      </w:tabs>
    </w:pPr>
  </w:style>
  <w:style w:type="character" w:customStyle="1" w:styleId="ad">
    <w:name w:val="フッター (文字)"/>
    <w:basedOn w:val="a0"/>
    <w:link w:val="ac"/>
    <w:uiPriority w:val="99"/>
    <w:rsid w:val="0075312C"/>
  </w:style>
  <w:style w:type="paragraph" w:styleId="ae">
    <w:name w:val="Revision"/>
    <w:hidden/>
    <w:uiPriority w:val="99"/>
    <w:semiHidden/>
    <w:rsid w:val="008D6B07"/>
  </w:style>
  <w:style w:type="paragraph" w:styleId="af">
    <w:name w:val="footnote text"/>
    <w:basedOn w:val="a"/>
    <w:link w:val="af0"/>
    <w:uiPriority w:val="99"/>
    <w:semiHidden/>
    <w:unhideWhenUsed/>
    <w:rsid w:val="00BA3A92"/>
    <w:rPr>
      <w:sz w:val="20"/>
      <w:szCs w:val="20"/>
    </w:rPr>
  </w:style>
  <w:style w:type="character" w:customStyle="1" w:styleId="af0">
    <w:name w:val="脚注文字列 (文字)"/>
    <w:basedOn w:val="a0"/>
    <w:link w:val="af"/>
    <w:uiPriority w:val="99"/>
    <w:semiHidden/>
    <w:rsid w:val="00BA3A92"/>
    <w:rPr>
      <w:sz w:val="20"/>
      <w:szCs w:val="20"/>
    </w:rPr>
  </w:style>
  <w:style w:type="character" w:styleId="af1">
    <w:name w:val="footnote reference"/>
    <w:basedOn w:val="a0"/>
    <w:uiPriority w:val="99"/>
    <w:semiHidden/>
    <w:unhideWhenUsed/>
    <w:rsid w:val="00BA3A92"/>
    <w:rPr>
      <w:vertAlign w:val="superscript"/>
    </w:rPr>
  </w:style>
  <w:style w:type="character" w:styleId="af2">
    <w:name w:val="Hyperlink"/>
    <w:basedOn w:val="a0"/>
    <w:uiPriority w:val="99"/>
    <w:unhideWhenUsed/>
    <w:rsid w:val="00BA3A92"/>
    <w:rPr>
      <w:color w:val="467886" w:themeColor="hyperlink"/>
      <w:u w:val="single"/>
    </w:rPr>
  </w:style>
  <w:style w:type="character" w:customStyle="1" w:styleId="11">
    <w:name w:val="未解決のメンション1"/>
    <w:basedOn w:val="a0"/>
    <w:uiPriority w:val="99"/>
    <w:semiHidden/>
    <w:unhideWhenUsed/>
    <w:rsid w:val="00BA3A92"/>
    <w:rPr>
      <w:color w:val="605E5C"/>
      <w:shd w:val="clear" w:color="auto" w:fill="E1DFDD"/>
    </w:rPr>
  </w:style>
  <w:style w:type="character" w:styleId="af3">
    <w:name w:val="FollowedHyperlink"/>
    <w:basedOn w:val="a0"/>
    <w:uiPriority w:val="99"/>
    <w:semiHidden/>
    <w:unhideWhenUsed/>
    <w:rsid w:val="00BA3A92"/>
    <w:rPr>
      <w:color w:val="96607D" w:themeColor="followedHyperlink"/>
      <w:u w:val="single"/>
    </w:rPr>
  </w:style>
  <w:style w:type="paragraph" w:styleId="Web">
    <w:name w:val="Normal (Web)"/>
    <w:basedOn w:val="a"/>
    <w:uiPriority w:val="99"/>
    <w:unhideWhenUsed/>
    <w:rsid w:val="00AD6463"/>
    <w:pPr>
      <w:spacing w:before="100" w:beforeAutospacing="1" w:after="100" w:afterAutospacing="1"/>
    </w:pPr>
    <w:rPr>
      <w:rFonts w:ascii="ＭＳ Ｐゴシック" w:eastAsia="ＭＳ Ｐゴシック" w:hAnsi="ＭＳ Ｐゴシック" w:cs="ＭＳ Ｐゴシック"/>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ageaction.ie/wp-content/uploads/2025/02/age_action_paper_abolish_mandatory_retirement.pdf" TargetMode="External"/><Relationship Id="rId3" Type="http://schemas.openxmlformats.org/officeDocument/2006/relationships/hyperlink" Target="https://ec.europa.eu/eurostat/databrowser/view/demo_mlexpec/default/table?lang=en&amp;category=demo.demo_mor" TargetMode="External"/><Relationship Id="rId7" Type="http://schemas.openxmlformats.org/officeDocument/2006/relationships/hyperlink" Target="https://ec.europa.eu/eurostat/databrowser/view/demo_mlexpec/default/table?lang=en&amp;category=demo.demo_mor" TargetMode="External"/><Relationship Id="rId2" Type="http://schemas.openxmlformats.org/officeDocument/2006/relationships/hyperlink" Target="https://social.desa.un.org/sites/default/files/2026-03/14_Joint%20AGE%20Platform%20Europe%20and%20ICHR%20-social%20inclusion%20and%20right%20to%20health.pdf" TargetMode="External"/><Relationship Id="rId1" Type="http://schemas.openxmlformats.org/officeDocument/2006/relationships/hyperlink" Target="https://academic.oup.com/hrlr/article/26/2/ngag002/8524687" TargetMode="External"/><Relationship Id="rId6" Type="http://schemas.openxmlformats.org/officeDocument/2006/relationships/hyperlink" Target="https://social.desa.un.org/sites/default/files/2026-03/14_Joint%20AGE%20Platform%20Europe%20and%20ICHR%20-social%20inclusion%20and%20right%20to%20health.pdf" TargetMode="External"/><Relationship Id="rId5" Type="http://schemas.openxmlformats.org/officeDocument/2006/relationships/hyperlink" Target="https://academic.oup.com/hrlr/article/26/2/ngag002/8524687" TargetMode="External"/><Relationship Id="rId4" Type="http://schemas.openxmlformats.org/officeDocument/2006/relationships/hyperlink" Target="https://www.ageaction.ie/wp-content/uploads/2025/02/age_action_paper_abolish_mandatory_retir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Icounter xmlns="d42e65b2-cf21-49c1-b27d-d23f90380c0e">2</AIcounter>
    <Category xmlns="d42e65b2-cf21-49c1-b27d-d23f90380c0e">States</Category>
    <lcf76f155ced4ddcb4097134ff3c332f xmlns="d42e65b2-cf21-49c1-b27d-d23f90380c0e">
      <Terms xmlns="http://schemas.microsoft.com/office/infopath/2007/PartnerControls"/>
    </lcf76f155ced4ddcb4097134ff3c332f>
    <Filename xmlns="d42e65b2-cf21-49c1-b27d-d23f90380c0e" xsi:nil="true"/>
    <Doctype xmlns="d42e65b2-cf21-49c1-b27d-d23f90380c0e">input</Doctype>
    <TaxCatchAll xmlns="985ec44e-1bab-4c0b-9df0-6ba128686fc9" xsi:nil="true"/>
    <Contributor xmlns="d42e65b2-cf21-49c1-b27d-d23f90380c0e">Ireland</Contributor>
    <Status xmlns="d42e65b2-cf21-49c1-b27d-d23f90380c0e">Ready to publish</Status>
    <AItagger xmlns="d42e65b2-cf21-49c1-b27d-d23f90380c0e">false</AItag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33" ma:contentTypeDescription="Create a new document." ma:contentTypeScope="" ma:versionID="e4152e80b297497bf179b6e599b3a5a8">
  <xsd:schema xmlns:xsd="http://www.w3.org/2001/XMLSchema" xmlns:xs="http://www.w3.org/2001/XMLSchema" xmlns:p="http://schemas.microsoft.com/office/2006/metadata/properties" xmlns:ns2="d42e65b2-cf21-49c1-b27d-d23f90380c0e" xmlns:ns3="9c2e4527-2efa-4ade-b3d6-b2418af14986" xmlns:ns4="985ec44e-1bab-4c0b-9df0-6ba128686fc9" targetNamespace="http://schemas.microsoft.com/office/2006/metadata/properties" ma:root="true" ma:fieldsID="c4a1058a1da92cd6dea230ffa20d6228" ns2:_="" ns3:_="" ns4:_="">
    <xsd:import namespace="d42e65b2-cf21-49c1-b27d-d23f90380c0e"/>
    <xsd:import namespace="9c2e4527-2efa-4ade-b3d6-b2418af14986"/>
    <xsd:import namespace="985ec44e-1bab-4c0b-9df0-6ba128686fc9"/>
    <xsd:element name="properties">
      <xsd:complexType>
        <xsd:sequence>
          <xsd:element name="documentManagement">
            <xsd:complexType>
              <xsd:all>
                <xsd:element ref="ns2:Contributor" minOccurs="0"/>
                <xsd:element ref="ns2:Doctype" minOccurs="0"/>
                <xsd:element ref="ns2:Category" minOccurs="0"/>
                <xsd:element ref="ns2:Filenam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 minOccurs="0"/>
                <xsd:element ref="ns2:AItagger" minOccurs="0"/>
                <xsd:element ref="ns2:AI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1" nillable="true" ma:displayName="Contributor" ma:description="Who submitted this document?&#10;Click and enter the contributor's name" ma:internalName="Contributor">
      <xsd:simpleType>
        <xsd:restriction base="dms:Text">
          <xsd:maxLength value="255"/>
        </xsd:restriction>
      </xsd:simpleType>
    </xsd:element>
    <xsd:element name="Doctype" ma:index="2" nillable="true" ma:displayName="Doc type" ma:default="input" ma:format="Dropdown" ma:internalName="Doctype" ma:readOnly="false">
      <xsd:simpleType>
        <xsd:union memberTypes="dms:Text">
          <xsd:simpleType>
            <xsd:restriction base="dms:Choice">
              <xsd:enumeration value="note verbale"/>
              <xsd:enumeration value="cover letter"/>
              <xsd:enumeration value="input"/>
              <xsd:enumeration value="annex"/>
              <xsd:enumeration value="English version"/>
              <xsd:enumeration value="French version"/>
              <xsd:enumeration value="Spanish version"/>
              <xsd:enumeration value="Arabic version"/>
              <xsd:enumeration value="Chinese version"/>
              <xsd:enumeration value="Russian version"/>
              <xsd:enumeration value="English translation"/>
              <xsd:enumeration value="French translation"/>
              <xsd:enumeration value="Spanish translation"/>
              <xsd:enumeration value="Arabic translation"/>
              <xsd:enumeration value="Russian translation"/>
              <xsd:enumeration value="Chinese translation"/>
            </xsd:restriction>
          </xsd:simpleType>
        </xsd:union>
      </xsd:simpleType>
    </xsd:element>
    <xsd:element name="Category" ma:index="3" nillable="true" ma:displayName="Category" ma:format="Dropdown" ma:internalName="Category" ma:readOnly="false">
      <xsd:simpleType>
        <xsd:union memberTypes="dms:Text">
          <xsd:simpleType>
            <xsd:restriction base="dms:Choice">
              <xsd:enumeration value="States"/>
              <xsd:enumeration value="NHRIs"/>
              <xsd:enumeration value="UN entities"/>
              <xsd:enumeration value="IGOs"/>
              <xsd:enumeration value="Regional mechanism"/>
              <xsd:enumeration value="National mechanism"/>
              <xsd:enumeration value="CSOs"/>
              <xsd:enumeration value="Private sector"/>
              <xsd:enumeration value="Academia"/>
              <xsd:enumeration value="Indigenous Peoples"/>
              <xsd:enumeration value="Individuals"/>
            </xsd:restriction>
          </xsd:simpleType>
        </xsd:union>
      </xsd:simpleType>
    </xsd:element>
    <xsd:element name="Filename" ma:index="4" nillable="true" ma:displayName="File name" ma:format="Dropdown" ma:hidden="true" ma:internalName="Filenam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fault="New" ma:format="Dropdown" ma:hidden="true" ma:internalName="Status">
      <xsd:simpleType>
        <xsd:restriction base="dms:Choice">
          <xsd:enumeration value="New"/>
          <xsd:enumeration value="AI tagging..."/>
          <xsd:enumeration value="AI tagged"/>
          <xsd:enumeration value="AI tagging failed"/>
          <xsd:enumeration value="Human tagged"/>
          <xsd:enumeration value="Preparing for publishing..."/>
          <xsd:enumeration value="Error"/>
          <xsd:enumeration value="Ready to publish"/>
          <xsd:enumeration value="Web published"/>
        </xsd:restriction>
      </xsd:simpleType>
    </xsd:element>
    <xsd:element name="AItagger" ma:index="27" nillable="true" ma:displayName="AI tagger" ma:default="0" ma:format="Dropdown" ma:internalName="AItagger">
      <xsd:simpleType>
        <xsd:restriction base="dms:Boolean"/>
      </xsd:simpleType>
    </xsd:element>
    <xsd:element name="AIcounter" ma:index="28" nillable="true" ma:displayName="AI counter" ma:decimals="0" ma:default="0" ma:description="How many times AI tagger has been triggered" ma:format="Dropdown" ma:internalName="AIcount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afd02e-5a56-4f93-83f9-320cd14d78c4}" ma:internalName="TaxCatchAll" ma:readOnly="false"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0284-4E6E-4DB4-8CD9-9F0D450852D3}">
  <ds:schemaRefs>
    <ds:schemaRef ds:uri="http://schemas.microsoft.com/sharepoint/v3/contenttype/forms"/>
  </ds:schemaRefs>
</ds:datastoreItem>
</file>

<file path=customXml/itemProps2.xml><?xml version="1.0" encoding="utf-8"?>
<ds:datastoreItem xmlns:ds="http://schemas.openxmlformats.org/officeDocument/2006/customXml" ds:itemID="{8DEE2A6E-2ACE-4E70-BC81-A2F2A168454A}">
  <ds:schemaRefs>
    <ds:schemaRef ds:uri="http://schemas.microsoft.com/office/2006/metadata/properties"/>
    <ds:schemaRef ds:uri="http://schemas.microsoft.com/office/infopath/2007/PartnerControls"/>
    <ds:schemaRef ds:uri="d42e65b2-cf21-49c1-b27d-d23f90380c0e"/>
    <ds:schemaRef ds:uri="985ec44e-1bab-4c0b-9df0-6ba128686fc9"/>
  </ds:schemaRefs>
</ds:datastoreItem>
</file>

<file path=customXml/itemProps3.xml><?xml version="1.0" encoding="utf-8"?>
<ds:datastoreItem xmlns:ds="http://schemas.openxmlformats.org/officeDocument/2006/customXml" ds:itemID="{B066AD1F-C238-4A45-93D8-D4892D46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65b2-cf21-49c1-b27d-d23f90380c0e"/>
    <ds:schemaRef ds:uri="9c2e4527-2efa-4ade-b3d6-b2418af1498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9211F-006D-4F14-8DD6-DD6299E5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2201</Words>
  <Characters>12549</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Department of Health Ireland</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Chantler</dc:creator>
  <cp:keywords/>
  <dc:description/>
  <cp:lastModifiedBy>久夫 佐藤</cp:lastModifiedBy>
  <cp:revision>2</cp:revision>
  <cp:lastPrinted>2026-04-16T16:18:00Z</cp:lastPrinted>
  <dcterms:created xsi:type="dcterms:W3CDTF">2026-05-14T02:27:00Z</dcterms:created>
  <dcterms:modified xsi:type="dcterms:W3CDTF">2026-05-14T02:27:00Z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