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B725C" w14:textId="77777777" w:rsidR="003463E7" w:rsidRPr="003463E7" w:rsidRDefault="003463E7" w:rsidP="003463E7">
      <w:pPr>
        <w:widowControl/>
        <w:spacing w:before="100" w:beforeAutospacing="1" w:after="100" w:afterAutospacing="1" w:line="300" w:lineRule="atLeast"/>
        <w:outlineLvl w:val="1"/>
        <w:rPr>
          <w:rFonts w:ascii="Segoe UI" w:eastAsia="ＭＳ Ｐゴシック" w:hAnsi="Segoe UI" w:cs="Segoe UI"/>
          <w:b/>
          <w:bCs/>
          <w:kern w:val="0"/>
          <w:sz w:val="36"/>
          <w:szCs w:val="36"/>
          <w14:ligatures w14:val="none"/>
        </w:rPr>
      </w:pPr>
      <w:r w:rsidRPr="003463E7">
        <w:rPr>
          <w:rFonts w:ascii="Segoe UI" w:eastAsia="ＭＳ Ｐゴシック" w:hAnsi="Segoe UI" w:cs="Segoe UI"/>
          <w:b/>
          <w:bCs/>
          <w:kern w:val="0"/>
          <w:sz w:val="36"/>
          <w:szCs w:val="36"/>
          <w14:ligatures w14:val="none"/>
        </w:rPr>
        <w:t>高齢者の人権に関する政府間作業部会</w:t>
      </w:r>
    </w:p>
    <w:p w14:paraId="0DAF1D60" w14:textId="77777777" w:rsidR="003463E7" w:rsidRPr="003463E7"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3463E7">
        <w:rPr>
          <w:rFonts w:ascii="Segoe UI" w:eastAsia="ＭＳ Ｐゴシック" w:hAnsi="Segoe UI" w:cs="Segoe UI"/>
          <w:kern w:val="0"/>
          <w:szCs w:val="21"/>
          <w14:ligatures w14:val="none"/>
        </w:rPr>
        <w:t>第</w:t>
      </w:r>
      <w:r w:rsidRPr="003463E7">
        <w:rPr>
          <w:rFonts w:ascii="Segoe UI" w:eastAsia="ＭＳ Ｐゴシック" w:hAnsi="Segoe UI" w:cs="Segoe UI"/>
          <w:kern w:val="0"/>
          <w:szCs w:val="21"/>
          <w14:ligatures w14:val="none"/>
        </w:rPr>
        <w:t>1</w:t>
      </w:r>
      <w:r w:rsidRPr="003463E7">
        <w:rPr>
          <w:rFonts w:ascii="Segoe UI" w:eastAsia="ＭＳ Ｐゴシック" w:hAnsi="Segoe UI" w:cs="Segoe UI"/>
          <w:kern w:val="0"/>
          <w:szCs w:val="21"/>
          <w14:ligatures w14:val="none"/>
        </w:rPr>
        <w:t>回会合</w:t>
      </w:r>
      <w:r w:rsidRPr="003463E7">
        <w:rPr>
          <w:rFonts w:ascii="Segoe UI" w:eastAsia="ＭＳ Ｐゴシック" w:hAnsi="Segoe UI" w:cs="Segoe UI"/>
          <w:kern w:val="0"/>
          <w:szCs w:val="21"/>
          <w14:ligatures w14:val="none"/>
        </w:rPr>
        <w:t xml:space="preserve"> </w:t>
      </w:r>
      <w:r w:rsidRPr="003463E7">
        <w:rPr>
          <w:rFonts w:ascii="Segoe UI" w:eastAsia="ＭＳ Ｐゴシック" w:hAnsi="Segoe UI" w:cs="Segoe UI"/>
          <w:kern w:val="0"/>
          <w:szCs w:val="21"/>
          <w14:ligatures w14:val="none"/>
        </w:rPr>
        <w:t>ジュネーブ、</w:t>
      </w:r>
      <w:r w:rsidRPr="003463E7">
        <w:rPr>
          <w:rFonts w:ascii="Segoe UI" w:eastAsia="ＭＳ Ｐゴシック" w:hAnsi="Segoe UI" w:cs="Segoe UI"/>
          <w:kern w:val="0"/>
          <w:szCs w:val="21"/>
          <w14:ligatures w14:val="none"/>
        </w:rPr>
        <w:t>2026</w:t>
      </w:r>
      <w:r w:rsidRPr="003463E7">
        <w:rPr>
          <w:rFonts w:ascii="Segoe UI" w:eastAsia="ＭＳ Ｐゴシック" w:hAnsi="Segoe UI" w:cs="Segoe UI"/>
          <w:kern w:val="0"/>
          <w:szCs w:val="21"/>
          <w14:ligatures w14:val="none"/>
        </w:rPr>
        <w:t>年</w:t>
      </w:r>
      <w:r w:rsidRPr="003463E7">
        <w:rPr>
          <w:rFonts w:ascii="Segoe UI" w:eastAsia="ＭＳ Ｐゴシック" w:hAnsi="Segoe UI" w:cs="Segoe UI"/>
          <w:kern w:val="0"/>
          <w:szCs w:val="21"/>
          <w14:ligatures w14:val="none"/>
        </w:rPr>
        <w:t>7</w:t>
      </w:r>
      <w:r w:rsidRPr="003463E7">
        <w:rPr>
          <w:rFonts w:ascii="Segoe UI" w:eastAsia="ＭＳ Ｐゴシック" w:hAnsi="Segoe UI" w:cs="Segoe UI"/>
          <w:kern w:val="0"/>
          <w:szCs w:val="21"/>
          <w14:ligatures w14:val="none"/>
        </w:rPr>
        <w:t>月</w:t>
      </w:r>
      <w:r w:rsidRPr="003463E7">
        <w:rPr>
          <w:rFonts w:ascii="Segoe UI" w:eastAsia="ＭＳ Ｐゴシック" w:hAnsi="Segoe UI" w:cs="Segoe UI"/>
          <w:kern w:val="0"/>
          <w:szCs w:val="21"/>
          <w14:ligatures w14:val="none"/>
        </w:rPr>
        <w:t>13</w:t>
      </w:r>
      <w:r w:rsidRPr="003463E7">
        <w:rPr>
          <w:rFonts w:ascii="Segoe UI" w:eastAsia="ＭＳ Ｐゴシック" w:hAnsi="Segoe UI" w:cs="Segoe UI"/>
          <w:kern w:val="0"/>
          <w:szCs w:val="21"/>
          <w14:ligatures w14:val="none"/>
        </w:rPr>
        <w:t>日〜</w:t>
      </w:r>
      <w:r w:rsidRPr="003463E7">
        <w:rPr>
          <w:rFonts w:ascii="Segoe UI" w:eastAsia="ＭＳ Ｐゴシック" w:hAnsi="Segoe UI" w:cs="Segoe UI"/>
          <w:kern w:val="0"/>
          <w:szCs w:val="21"/>
          <w14:ligatures w14:val="none"/>
        </w:rPr>
        <w:t>17</w:t>
      </w:r>
      <w:r w:rsidRPr="003463E7">
        <w:rPr>
          <w:rFonts w:ascii="Segoe UI" w:eastAsia="ＭＳ Ｐゴシック" w:hAnsi="Segoe UI" w:cs="Segoe UI"/>
          <w:kern w:val="0"/>
          <w:szCs w:val="21"/>
          <w14:ligatures w14:val="none"/>
        </w:rPr>
        <w:t>日</w:t>
      </w:r>
      <w:r w:rsidRPr="003463E7">
        <w:rPr>
          <w:rFonts w:ascii="Segoe UI" w:eastAsia="ＭＳ Ｐゴシック" w:hAnsi="Segoe UI" w:cs="Segoe UI"/>
          <w:kern w:val="0"/>
          <w:szCs w:val="21"/>
          <w14:ligatures w14:val="none"/>
        </w:rPr>
        <w:t xml:space="preserve"> </w:t>
      </w:r>
      <w:r w:rsidRPr="003463E7">
        <w:rPr>
          <w:rFonts w:ascii="Segoe UI" w:eastAsia="ＭＳ Ｐゴシック" w:hAnsi="Segoe UI" w:cs="Segoe UI"/>
          <w:b/>
          <w:bCs/>
          <w:kern w:val="0"/>
          <w:szCs w:val="21"/>
          <w14:ligatures w14:val="none"/>
        </w:rPr>
        <w:t>提出意見の概要</w:t>
      </w:r>
    </w:p>
    <w:p w14:paraId="1206995C" w14:textId="4C9AFB46" w:rsidR="003463E7" w:rsidRPr="00243A17" w:rsidRDefault="00243A17" w:rsidP="00243A17">
      <w:pPr>
        <w:widowControl/>
        <w:spacing w:line="300" w:lineRule="atLeast"/>
        <w:ind w:leftChars="1080" w:left="2689" w:hangingChars="234" w:hanging="421"/>
        <w:rPr>
          <w:rFonts w:ascii="BIZ UDPゴシック" w:eastAsia="BIZ UDPゴシック" w:hAnsi="BIZ UDPゴシック" w:cs="Segoe UI"/>
          <w:kern w:val="0"/>
          <w:sz w:val="18"/>
          <w:szCs w:val="18"/>
          <w14:ligatures w14:val="none"/>
        </w:rPr>
      </w:pPr>
      <w:r w:rsidRPr="00FD1AEC">
        <w:rPr>
          <w:rFonts w:ascii="BIZ UDPゴシック" w:eastAsia="BIZ UDPゴシック" w:hAnsi="BIZ UDPゴシック" w:cs="Segoe UI" w:hint="eastAsia"/>
          <w:kern w:val="0"/>
          <w:sz w:val="18"/>
          <w:szCs w:val="18"/>
          <w14:ligatures w14:val="none"/>
        </w:rPr>
        <w:t>訳注　この文書は、２０２６年４月に「作業部会」</w:t>
      </w:r>
      <w:r w:rsidR="00FD1AEC" w:rsidRPr="00FD1AEC">
        <w:rPr>
          <w:rFonts w:ascii="BIZ UDPゴシック" w:eastAsia="BIZ UDPゴシック" w:hAnsi="BIZ UDPゴシック" w:cs="Segoe UI" w:hint="eastAsia"/>
          <w:kern w:val="0"/>
          <w:sz w:val="18"/>
          <w:szCs w:val="18"/>
          <w14:ligatures w14:val="none"/>
        </w:rPr>
        <w:t>の意見募集</w:t>
      </w:r>
      <w:r w:rsidRPr="00FD1AEC">
        <w:rPr>
          <w:rFonts w:ascii="BIZ UDPゴシック" w:eastAsia="BIZ UDPゴシック" w:hAnsi="BIZ UDPゴシック" w:cs="Segoe UI" w:hint="eastAsia"/>
          <w:kern w:val="0"/>
          <w:sz w:val="18"/>
          <w:szCs w:val="18"/>
          <w14:ligatures w14:val="none"/>
        </w:rPr>
        <w:t>に寄せられた２００余りの意見を人権高等弁務官事務局が整理したもの。</w:t>
      </w:r>
    </w:p>
    <w:p w14:paraId="22361BB7" w14:textId="77777777" w:rsidR="003463E7" w:rsidRPr="003463E7" w:rsidRDefault="003463E7" w:rsidP="003463E7">
      <w:pPr>
        <w:widowControl/>
        <w:spacing w:before="100" w:beforeAutospacing="1" w:after="100" w:afterAutospacing="1" w:line="300" w:lineRule="atLeast"/>
        <w:outlineLvl w:val="2"/>
        <w:rPr>
          <w:rFonts w:ascii="Segoe UI" w:eastAsia="ＭＳ Ｐゴシック" w:hAnsi="Segoe UI" w:cs="Segoe UI"/>
          <w:b/>
          <w:bCs/>
          <w:kern w:val="0"/>
          <w:sz w:val="27"/>
          <w:szCs w:val="27"/>
          <w14:ligatures w14:val="none"/>
        </w:rPr>
      </w:pPr>
      <w:r w:rsidRPr="003463E7">
        <w:rPr>
          <w:rFonts w:ascii="Segoe UI" w:eastAsia="ＭＳ Ｐゴシック" w:hAnsi="Segoe UI" w:cs="Segoe UI"/>
          <w:b/>
          <w:bCs/>
          <w:kern w:val="0"/>
          <w:sz w:val="27"/>
          <w:szCs w:val="27"/>
          <w14:ligatures w14:val="none"/>
        </w:rPr>
        <w:t>はじめに</w:t>
      </w:r>
    </w:p>
    <w:p w14:paraId="10D2054A" w14:textId="1602E34B" w:rsidR="003463E7" w:rsidRPr="003463E7"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3463E7">
        <w:rPr>
          <w:rFonts w:ascii="Segoe UI" w:eastAsia="ＭＳ Ｐゴシック" w:hAnsi="Segoe UI" w:cs="Segoe UI"/>
          <w:b/>
          <w:bCs/>
          <w:kern w:val="0"/>
          <w:szCs w:val="21"/>
          <w14:ligatures w14:val="none"/>
        </w:rPr>
        <w:t>1</w:t>
      </w:r>
      <w:r w:rsidRPr="003463E7">
        <w:rPr>
          <w:rFonts w:ascii="Segoe UI" w:eastAsia="ＭＳ Ｐゴシック" w:hAnsi="Segoe UI" w:cs="Segoe UI"/>
          <w:b/>
          <w:bCs/>
          <w:kern w:val="0"/>
          <w:szCs w:val="21"/>
          <w14:ligatures w14:val="none"/>
        </w:rPr>
        <w:t>．</w:t>
      </w:r>
      <w:r w:rsidRPr="003463E7">
        <w:rPr>
          <w:rFonts w:ascii="Segoe UI" w:eastAsia="ＭＳ Ｐゴシック" w:hAnsi="Segoe UI" w:cs="Segoe UI"/>
          <w:kern w:val="0"/>
          <w:szCs w:val="21"/>
          <w14:ligatures w14:val="none"/>
        </w:rPr>
        <w:t xml:space="preserve"> </w:t>
      </w:r>
      <w:r w:rsidRPr="003463E7">
        <w:rPr>
          <w:rFonts w:ascii="Segoe UI" w:eastAsia="ＭＳ Ｐゴシック" w:hAnsi="Segoe UI" w:cs="Segoe UI"/>
          <w:kern w:val="0"/>
          <w:szCs w:val="21"/>
          <w14:ligatures w14:val="none"/>
        </w:rPr>
        <w:t>高齢者の人権に関する政府間作業部会は、高齢者による人権の完全な享有を促進、</w:t>
      </w:r>
      <w:r w:rsidR="001A0F3C">
        <w:rPr>
          <w:rFonts w:ascii="Segoe UI" w:eastAsia="ＭＳ Ｐゴシック" w:hAnsi="Segoe UI" w:cs="Segoe UI"/>
          <w:kern w:val="0"/>
          <w:szCs w:val="21"/>
          <w14:ligatures w14:val="none"/>
        </w:rPr>
        <w:t>保障</w:t>
      </w:r>
      <w:r w:rsidRPr="003463E7">
        <w:rPr>
          <w:rFonts w:ascii="Segoe UI" w:eastAsia="ＭＳ Ｐゴシック" w:hAnsi="Segoe UI" w:cs="Segoe UI"/>
          <w:kern w:val="0"/>
          <w:szCs w:val="21"/>
          <w14:ligatures w14:val="none"/>
        </w:rPr>
        <w:t>及び確保することを目的とする、高齢者の人権に関する国際的な法的拘束力を持つ文書の草案を作成し、人権理事会に提出する任務を付与されて、人権理事会決議</w:t>
      </w:r>
      <w:r w:rsidRPr="003463E7">
        <w:rPr>
          <w:rFonts w:ascii="Segoe UI" w:eastAsia="ＭＳ Ｐゴシック" w:hAnsi="Segoe UI" w:cs="Segoe UI"/>
          <w:kern w:val="0"/>
          <w:szCs w:val="21"/>
          <w14:ligatures w14:val="none"/>
        </w:rPr>
        <w:t>58/13</w:t>
      </w:r>
      <w:r w:rsidRPr="003463E7">
        <w:rPr>
          <w:rFonts w:ascii="Segoe UI" w:eastAsia="ＭＳ Ｐゴシック" w:hAnsi="Segoe UI" w:cs="Segoe UI"/>
          <w:kern w:val="0"/>
          <w:szCs w:val="21"/>
          <w14:ligatures w14:val="none"/>
        </w:rPr>
        <w:t>に基づき設置された。</w:t>
      </w:r>
      <w:r w:rsidRPr="003463E7">
        <w:rPr>
          <w:rFonts w:ascii="Segoe UI" w:eastAsia="ＭＳ Ｐゴシック" w:hAnsi="Segoe UI" w:cs="Segoe UI"/>
          <w:kern w:val="0"/>
          <w:szCs w:val="21"/>
          <w14:ligatures w14:val="none"/>
        </w:rPr>
        <w:t>2026</w:t>
      </w:r>
      <w:r w:rsidRPr="003463E7">
        <w:rPr>
          <w:rFonts w:ascii="Segoe UI" w:eastAsia="ＭＳ Ｐゴシック" w:hAnsi="Segoe UI" w:cs="Segoe UI"/>
          <w:kern w:val="0"/>
          <w:szCs w:val="21"/>
          <w14:ligatures w14:val="none"/>
        </w:rPr>
        <w:t>年</w:t>
      </w:r>
      <w:r w:rsidRPr="003463E7">
        <w:rPr>
          <w:rFonts w:ascii="Segoe UI" w:eastAsia="ＭＳ Ｐゴシック" w:hAnsi="Segoe UI" w:cs="Segoe UI"/>
          <w:kern w:val="0"/>
          <w:szCs w:val="21"/>
          <w14:ligatures w14:val="none"/>
        </w:rPr>
        <w:t>7</w:t>
      </w:r>
      <w:r w:rsidRPr="003463E7">
        <w:rPr>
          <w:rFonts w:ascii="Segoe UI" w:eastAsia="ＭＳ Ｐゴシック" w:hAnsi="Segoe UI" w:cs="Segoe UI"/>
          <w:kern w:val="0"/>
          <w:szCs w:val="21"/>
          <w14:ligatures w14:val="none"/>
        </w:rPr>
        <w:t>月</w:t>
      </w:r>
      <w:r w:rsidRPr="003463E7">
        <w:rPr>
          <w:rFonts w:ascii="Segoe UI" w:eastAsia="ＭＳ Ｐゴシック" w:hAnsi="Segoe UI" w:cs="Segoe UI"/>
          <w:kern w:val="0"/>
          <w:szCs w:val="21"/>
          <w14:ligatures w14:val="none"/>
        </w:rPr>
        <w:t>13</w:t>
      </w:r>
      <w:r w:rsidRPr="003463E7">
        <w:rPr>
          <w:rFonts w:ascii="Segoe UI" w:eastAsia="ＭＳ Ｐゴシック" w:hAnsi="Segoe UI" w:cs="Segoe UI"/>
          <w:kern w:val="0"/>
          <w:szCs w:val="21"/>
          <w14:ligatures w14:val="none"/>
        </w:rPr>
        <w:t>日から</w:t>
      </w:r>
      <w:r w:rsidRPr="003463E7">
        <w:rPr>
          <w:rFonts w:ascii="Segoe UI" w:eastAsia="ＭＳ Ｐゴシック" w:hAnsi="Segoe UI" w:cs="Segoe UI"/>
          <w:kern w:val="0"/>
          <w:szCs w:val="21"/>
          <w14:ligatures w14:val="none"/>
        </w:rPr>
        <w:t>17</w:t>
      </w:r>
      <w:r w:rsidRPr="003463E7">
        <w:rPr>
          <w:rFonts w:ascii="Segoe UI" w:eastAsia="ＭＳ Ｐゴシック" w:hAnsi="Segoe UI" w:cs="Segoe UI"/>
          <w:kern w:val="0"/>
          <w:szCs w:val="21"/>
          <w14:ligatures w14:val="none"/>
        </w:rPr>
        <w:t>日まで国連ジュネーブ事務局で開催される予定の第</w:t>
      </w:r>
      <w:r w:rsidRPr="003463E7">
        <w:rPr>
          <w:rFonts w:ascii="Segoe UI" w:eastAsia="ＭＳ Ｐゴシック" w:hAnsi="Segoe UI" w:cs="Segoe UI"/>
          <w:kern w:val="0"/>
          <w:szCs w:val="21"/>
          <w14:ligatures w14:val="none"/>
        </w:rPr>
        <w:t>1</w:t>
      </w:r>
      <w:r w:rsidRPr="003463E7">
        <w:rPr>
          <w:rFonts w:ascii="Segoe UI" w:eastAsia="ＭＳ Ｐゴシック" w:hAnsi="Segoe UI" w:cs="Segoe UI"/>
          <w:kern w:val="0"/>
          <w:szCs w:val="21"/>
          <w14:ligatures w14:val="none"/>
        </w:rPr>
        <w:t>回会合の準備として、政府間作業部会の議長兼報告者は、加盟国及びその他のステークホルダーに対し、当該文書の包括的枠組み、中核原則及び全体的構造に関する書面による意見を提出するよう求めた。この呼びかけに応じ、</w:t>
      </w:r>
      <w:r w:rsidRPr="003463E7">
        <w:rPr>
          <w:rFonts w:ascii="Segoe UI" w:eastAsia="ＭＳ Ｐゴシック" w:hAnsi="Segoe UI" w:cs="Segoe UI"/>
          <w:kern w:val="0"/>
          <w:szCs w:val="21"/>
          <w14:ligatures w14:val="none"/>
        </w:rPr>
        <w:t>2026</w:t>
      </w:r>
      <w:r w:rsidRPr="003463E7">
        <w:rPr>
          <w:rFonts w:ascii="Segoe UI" w:eastAsia="ＭＳ Ｐゴシック" w:hAnsi="Segoe UI" w:cs="Segoe UI"/>
          <w:kern w:val="0"/>
          <w:szCs w:val="21"/>
          <w14:ligatures w14:val="none"/>
        </w:rPr>
        <w:t>年</w:t>
      </w:r>
      <w:r w:rsidRPr="003463E7">
        <w:rPr>
          <w:rFonts w:ascii="Segoe UI" w:eastAsia="ＭＳ Ｐゴシック" w:hAnsi="Segoe UI" w:cs="Segoe UI"/>
          <w:kern w:val="0"/>
          <w:szCs w:val="21"/>
          <w14:ligatures w14:val="none"/>
        </w:rPr>
        <w:t>6</w:t>
      </w:r>
      <w:r w:rsidRPr="003463E7">
        <w:rPr>
          <w:rFonts w:ascii="Segoe UI" w:eastAsia="ＭＳ Ｐゴシック" w:hAnsi="Segoe UI" w:cs="Segoe UI"/>
          <w:kern w:val="0"/>
          <w:szCs w:val="21"/>
          <w14:ligatures w14:val="none"/>
        </w:rPr>
        <w:t>月</w:t>
      </w:r>
      <w:r w:rsidRPr="003463E7">
        <w:rPr>
          <w:rFonts w:ascii="Segoe UI" w:eastAsia="ＭＳ Ｐゴシック" w:hAnsi="Segoe UI" w:cs="Segoe UI"/>
          <w:kern w:val="0"/>
          <w:szCs w:val="21"/>
          <w14:ligatures w14:val="none"/>
        </w:rPr>
        <w:t>24</w:t>
      </w:r>
      <w:r w:rsidRPr="003463E7">
        <w:rPr>
          <w:rFonts w:ascii="Segoe UI" w:eastAsia="ＭＳ Ｐゴシック" w:hAnsi="Segoe UI" w:cs="Segoe UI"/>
          <w:kern w:val="0"/>
          <w:szCs w:val="21"/>
          <w14:ligatures w14:val="none"/>
        </w:rPr>
        <w:t>日時点で、加盟国及びオブザーバー、高齢者によるすべての人権享有に関する独立専門家、国内人権機関、国際機関、市民社会組織及びその他の関連ステークホルダーから</w:t>
      </w:r>
      <w:r w:rsidRPr="003463E7">
        <w:rPr>
          <w:rFonts w:ascii="Segoe UI" w:eastAsia="ＭＳ Ｐゴシック" w:hAnsi="Segoe UI" w:cs="Segoe UI"/>
          <w:kern w:val="0"/>
          <w:szCs w:val="21"/>
          <w14:ligatures w14:val="none"/>
        </w:rPr>
        <w:t>202</w:t>
      </w:r>
      <w:r w:rsidRPr="003463E7">
        <w:rPr>
          <w:rFonts w:ascii="Segoe UI" w:eastAsia="ＭＳ Ｐゴシック" w:hAnsi="Segoe UI" w:cs="Segoe UI"/>
          <w:kern w:val="0"/>
          <w:szCs w:val="21"/>
          <w14:ligatures w14:val="none"/>
        </w:rPr>
        <w:t>件の意見が寄せられた。</w:t>
      </w:r>
    </w:p>
    <w:p w14:paraId="64219822" w14:textId="24263B76" w:rsidR="003463E7" w:rsidRPr="003463E7"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3463E7">
        <w:rPr>
          <w:rFonts w:ascii="Segoe UI" w:eastAsia="ＭＳ Ｐゴシック" w:hAnsi="Segoe UI" w:cs="Segoe UI"/>
          <w:b/>
          <w:bCs/>
          <w:kern w:val="0"/>
          <w:szCs w:val="21"/>
          <w14:ligatures w14:val="none"/>
        </w:rPr>
        <w:t>2</w:t>
      </w:r>
      <w:r w:rsidRPr="003463E7">
        <w:rPr>
          <w:rFonts w:ascii="Segoe UI" w:eastAsia="ＭＳ Ｐゴシック" w:hAnsi="Segoe UI" w:cs="Segoe UI"/>
          <w:b/>
          <w:bCs/>
          <w:kern w:val="0"/>
          <w:szCs w:val="21"/>
          <w14:ligatures w14:val="none"/>
        </w:rPr>
        <w:t>．</w:t>
      </w:r>
      <w:r w:rsidRPr="003463E7">
        <w:rPr>
          <w:rFonts w:ascii="Segoe UI" w:eastAsia="ＭＳ Ｐゴシック" w:hAnsi="Segoe UI" w:cs="Segoe UI"/>
          <w:kern w:val="0"/>
          <w:szCs w:val="21"/>
          <w14:ligatures w14:val="none"/>
        </w:rPr>
        <w:t xml:space="preserve"> </w:t>
      </w:r>
      <w:r w:rsidRPr="003463E7">
        <w:rPr>
          <w:rFonts w:ascii="Segoe UI" w:eastAsia="ＭＳ Ｐゴシック" w:hAnsi="Segoe UI" w:cs="Segoe UI"/>
          <w:kern w:val="0"/>
          <w:szCs w:val="21"/>
          <w14:ligatures w14:val="none"/>
        </w:rPr>
        <w:t>本非公式概要は、国連人権高等弁務官事務所（</w:t>
      </w:r>
      <w:r w:rsidRPr="003463E7">
        <w:rPr>
          <w:rFonts w:ascii="Segoe UI" w:eastAsia="ＭＳ Ｐゴシック" w:hAnsi="Segoe UI" w:cs="Segoe UI"/>
          <w:kern w:val="0"/>
          <w:szCs w:val="21"/>
          <w14:ligatures w14:val="none"/>
        </w:rPr>
        <w:t>OHCHR</w:t>
      </w:r>
      <w:r w:rsidRPr="003463E7">
        <w:rPr>
          <w:rFonts w:ascii="Segoe UI" w:eastAsia="ＭＳ Ｐゴシック" w:hAnsi="Segoe UI" w:cs="Segoe UI"/>
          <w:kern w:val="0"/>
          <w:szCs w:val="21"/>
          <w14:ligatures w14:val="none"/>
        </w:rPr>
        <w:t>）により、原提出意見に対してサイ</w:t>
      </w:r>
      <w:r w:rsidRPr="00FD1AEC">
        <w:rPr>
          <w:rFonts w:ascii="Segoe UI" w:eastAsia="ＭＳ Ｐゴシック" w:hAnsi="Segoe UI" w:cs="Segoe UI"/>
          <w:kern w:val="0"/>
          <w:szCs w:val="21"/>
          <w14:ligatures w14:val="none"/>
        </w:rPr>
        <w:t>ン・プレジュディシオ（</w:t>
      </w:r>
      <w:r w:rsidRPr="00FD1AEC">
        <w:rPr>
          <w:rFonts w:ascii="Segoe UI" w:eastAsia="ＭＳ Ｐゴシック" w:hAnsi="Segoe UI" w:cs="Segoe UI"/>
          <w:i/>
          <w:iCs/>
          <w:kern w:val="0"/>
          <w:szCs w:val="21"/>
          <w14:ligatures w14:val="none"/>
        </w:rPr>
        <w:t>sine prejudicio</w:t>
      </w:r>
      <w:r w:rsidRPr="00FD1AEC">
        <w:rPr>
          <w:rFonts w:ascii="Segoe UI" w:eastAsia="ＭＳ Ｐゴシック" w:hAnsi="Segoe UI" w:cs="Segoe UI"/>
          <w:kern w:val="0"/>
          <w:szCs w:val="21"/>
          <w14:ligatures w14:val="none"/>
        </w:rPr>
        <w:t>）の原則に基づき</w:t>
      </w:r>
      <w:r w:rsidR="007B50F8" w:rsidRPr="00FD1AEC">
        <w:rPr>
          <w:rFonts w:ascii="Segoe UI" w:eastAsia="ＭＳ Ｐゴシック" w:hAnsi="Segoe UI" w:cs="Segoe UI" w:hint="eastAsia"/>
          <w:kern w:val="0"/>
          <w:sz w:val="18"/>
          <w:szCs w:val="18"/>
          <w14:ligatures w14:val="none"/>
        </w:rPr>
        <w:t>（訳注　特定の意見を不利益に扱わないように、中立的な立場で、という意味）</w:t>
      </w:r>
      <w:r w:rsidRPr="00FD1AEC">
        <w:rPr>
          <w:rFonts w:ascii="Segoe UI" w:eastAsia="ＭＳ Ｐゴシック" w:hAnsi="Segoe UI" w:cs="Segoe UI"/>
          <w:kern w:val="0"/>
          <w:szCs w:val="21"/>
          <w14:ligatures w14:val="none"/>
        </w:rPr>
        <w:t>作成されたものである。</w:t>
      </w:r>
      <w:r w:rsidRPr="00FD1AEC">
        <w:rPr>
          <w:rFonts w:ascii="Segoe UI" w:eastAsia="ＭＳ Ｐゴシック" w:hAnsi="Segoe UI" w:cs="Segoe UI"/>
          <w:kern w:val="0"/>
          <w:szCs w:val="21"/>
          <w14:ligatures w14:val="none"/>
        </w:rPr>
        <w:t>2026</w:t>
      </w:r>
      <w:r w:rsidRPr="00FD1AEC">
        <w:rPr>
          <w:rFonts w:ascii="Segoe UI" w:eastAsia="ＭＳ Ｐゴシック" w:hAnsi="Segoe UI" w:cs="Segoe UI"/>
          <w:kern w:val="0"/>
          <w:szCs w:val="21"/>
          <w14:ligatures w14:val="none"/>
        </w:rPr>
        <w:t>年</w:t>
      </w:r>
      <w:r w:rsidRPr="00FD1AEC">
        <w:rPr>
          <w:rFonts w:ascii="Segoe UI" w:eastAsia="ＭＳ Ｐゴシック" w:hAnsi="Segoe UI" w:cs="Segoe UI"/>
          <w:kern w:val="0"/>
          <w:szCs w:val="21"/>
          <w14:ligatures w14:val="none"/>
        </w:rPr>
        <w:t>6</w:t>
      </w:r>
      <w:r w:rsidRPr="00FD1AEC">
        <w:rPr>
          <w:rFonts w:ascii="Segoe UI" w:eastAsia="ＭＳ Ｐゴシック" w:hAnsi="Segoe UI" w:cs="Segoe UI"/>
          <w:kern w:val="0"/>
          <w:szCs w:val="21"/>
          <w14:ligatures w14:val="none"/>
        </w:rPr>
        <w:t>月</w:t>
      </w:r>
      <w:r w:rsidRPr="00FD1AEC">
        <w:rPr>
          <w:rFonts w:ascii="Segoe UI" w:eastAsia="ＭＳ Ｐゴシック" w:hAnsi="Segoe UI" w:cs="Segoe UI"/>
          <w:kern w:val="0"/>
          <w:szCs w:val="21"/>
          <w14:ligatures w14:val="none"/>
        </w:rPr>
        <w:t>24</w:t>
      </w:r>
      <w:r w:rsidRPr="00FD1AEC">
        <w:rPr>
          <w:rFonts w:ascii="Segoe UI" w:eastAsia="ＭＳ Ｐゴシック" w:hAnsi="Segoe UI" w:cs="Segoe UI"/>
          <w:kern w:val="0"/>
          <w:szCs w:val="21"/>
          <w14:ligatures w14:val="none"/>
        </w:rPr>
        <w:t>日以降に受領したものを含む、</w:t>
      </w:r>
      <w:r w:rsidRPr="003463E7">
        <w:rPr>
          <w:rFonts w:ascii="Segoe UI" w:eastAsia="ＭＳ Ｐゴシック" w:hAnsi="Segoe UI" w:cs="Segoe UI"/>
          <w:kern w:val="0"/>
          <w:szCs w:val="21"/>
          <w14:ligatures w14:val="none"/>
        </w:rPr>
        <w:t>受領したすべての提出意見はウェブページ上で閲覧することができる</w:t>
      </w:r>
      <w:r>
        <w:rPr>
          <w:rStyle w:val="ac"/>
          <w:rFonts w:ascii="Segoe UI" w:eastAsia="ＭＳ Ｐゴシック" w:hAnsi="Segoe UI" w:cs="Segoe UI"/>
          <w:kern w:val="0"/>
          <w:szCs w:val="21"/>
          <w14:ligatures w14:val="none"/>
        </w:rPr>
        <w:footnoteReference w:id="1"/>
      </w:r>
      <w:r w:rsidRPr="003463E7">
        <w:rPr>
          <w:rFonts w:ascii="Segoe UI" w:eastAsia="ＭＳ Ｐゴシック" w:hAnsi="Segoe UI" w:cs="Segoe UI"/>
          <w:kern w:val="0"/>
          <w:szCs w:val="21"/>
          <w14:ligatures w14:val="none"/>
        </w:rPr>
        <w:t>。</w:t>
      </w:r>
    </w:p>
    <w:p w14:paraId="77D64FA7" w14:textId="77777777" w:rsidR="003463E7" w:rsidRPr="003463E7" w:rsidRDefault="00225FC5" w:rsidP="003463E7">
      <w:pPr>
        <w:widowControl/>
        <w:spacing w:line="300" w:lineRule="atLeast"/>
        <w:rPr>
          <w:rFonts w:ascii="Segoe UI" w:eastAsia="ＭＳ Ｐゴシック" w:hAnsi="Segoe UI" w:cs="Segoe UI"/>
          <w:kern w:val="0"/>
          <w:szCs w:val="21"/>
          <w14:ligatures w14:val="none"/>
        </w:rPr>
      </w:pPr>
      <w:r>
        <w:rPr>
          <w:rFonts w:ascii="Segoe UI" w:eastAsia="ＭＳ Ｐゴシック" w:hAnsi="Segoe UI" w:cs="Segoe UI"/>
          <w:kern w:val="0"/>
          <w:szCs w:val="21"/>
          <w14:ligatures w14:val="none"/>
        </w:rPr>
        <w:pict w14:anchorId="3DCCB6BE">
          <v:rect id="_x0000_i1025" style="width:0;height:1.5pt" o:hralign="center" o:hrstd="t" o:hr="t" fillcolor="#a0a0a0" stroked="f">
            <v:textbox inset="5.85pt,.7pt,5.85pt,.7pt"/>
          </v:rect>
        </w:pict>
      </w:r>
    </w:p>
    <w:p w14:paraId="73BAAACF" w14:textId="77777777" w:rsidR="003463E7" w:rsidRPr="003463E7" w:rsidRDefault="003463E7" w:rsidP="003463E7">
      <w:pPr>
        <w:widowControl/>
        <w:spacing w:before="100" w:beforeAutospacing="1" w:after="100" w:afterAutospacing="1" w:line="300" w:lineRule="atLeast"/>
        <w:outlineLvl w:val="2"/>
        <w:rPr>
          <w:rFonts w:ascii="Segoe UI" w:eastAsia="ＭＳ Ｐゴシック" w:hAnsi="Segoe UI" w:cs="Segoe UI"/>
          <w:b/>
          <w:bCs/>
          <w:kern w:val="0"/>
          <w:sz w:val="27"/>
          <w:szCs w:val="27"/>
          <w14:ligatures w14:val="none"/>
        </w:rPr>
      </w:pPr>
      <w:r w:rsidRPr="003463E7">
        <w:rPr>
          <w:rFonts w:ascii="Segoe UI" w:eastAsia="ＭＳ Ｐゴシック" w:hAnsi="Segoe UI" w:cs="Segoe UI"/>
          <w:b/>
          <w:bCs/>
          <w:kern w:val="0"/>
          <w:sz w:val="27"/>
          <w:szCs w:val="27"/>
          <w14:ligatures w14:val="none"/>
        </w:rPr>
        <w:t>I</w:t>
      </w:r>
      <w:r w:rsidRPr="003463E7">
        <w:rPr>
          <w:rFonts w:ascii="Segoe UI" w:eastAsia="ＭＳ Ｐゴシック" w:hAnsi="Segoe UI" w:cs="Segoe UI"/>
          <w:b/>
          <w:bCs/>
          <w:kern w:val="0"/>
          <w:sz w:val="27"/>
          <w:szCs w:val="27"/>
          <w14:ligatures w14:val="none"/>
        </w:rPr>
        <w:t>．包括的枠組み</w:t>
      </w:r>
    </w:p>
    <w:p w14:paraId="5B37ABD4" w14:textId="77777777" w:rsidR="003463E7" w:rsidRPr="003463E7"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3463E7">
        <w:rPr>
          <w:rFonts w:ascii="Segoe UI" w:eastAsia="ＭＳ Ｐゴシック" w:hAnsi="Segoe UI" w:cs="Segoe UI"/>
          <w:b/>
          <w:bCs/>
          <w:kern w:val="0"/>
          <w:szCs w:val="21"/>
          <w14:ligatures w14:val="none"/>
        </w:rPr>
        <w:t>3</w:t>
      </w:r>
      <w:r w:rsidRPr="003463E7">
        <w:rPr>
          <w:rFonts w:ascii="Segoe UI" w:eastAsia="ＭＳ Ｐゴシック" w:hAnsi="Segoe UI" w:cs="Segoe UI"/>
          <w:b/>
          <w:bCs/>
          <w:kern w:val="0"/>
          <w:szCs w:val="21"/>
          <w14:ligatures w14:val="none"/>
        </w:rPr>
        <w:t>．</w:t>
      </w:r>
      <w:r w:rsidRPr="003463E7">
        <w:rPr>
          <w:rFonts w:ascii="Segoe UI" w:eastAsia="ＭＳ Ｐゴシック" w:hAnsi="Segoe UI" w:cs="Segoe UI"/>
          <w:kern w:val="0"/>
          <w:szCs w:val="21"/>
          <w14:ligatures w14:val="none"/>
        </w:rPr>
        <w:t xml:space="preserve"> </w:t>
      </w:r>
      <w:r w:rsidRPr="003463E7">
        <w:rPr>
          <w:rFonts w:ascii="Segoe UI" w:eastAsia="ＭＳ Ｐゴシック" w:hAnsi="Segoe UI" w:cs="Segoe UI"/>
          <w:kern w:val="0"/>
          <w:szCs w:val="21"/>
          <w14:ligatures w14:val="none"/>
        </w:rPr>
        <w:t>高齢者の人権に関する国際的な法的拘束力を持つ文書の指針となるべき包括的枠組みについて、</w:t>
      </w:r>
      <w:r w:rsidRPr="003463E7">
        <w:rPr>
          <w:rFonts w:ascii="Segoe UI" w:eastAsia="ＭＳ Ｐゴシック" w:hAnsi="Segoe UI" w:cs="Segoe UI"/>
          <w:b/>
          <w:bCs/>
          <w:kern w:val="0"/>
          <w:szCs w:val="21"/>
          <w14:ligatures w14:val="none"/>
        </w:rPr>
        <w:t>国家</w:t>
      </w:r>
      <w:r w:rsidRPr="003463E7">
        <w:rPr>
          <w:rFonts w:ascii="Segoe UI" w:eastAsia="ＭＳ Ｐゴシック" w:hAnsi="Segoe UI" w:cs="Segoe UI"/>
          <w:kern w:val="0"/>
          <w:szCs w:val="21"/>
          <w14:ligatures w14:val="none"/>
        </w:rPr>
        <w:t>からの多くの提出意見に共通するテーマは、当該文書は明示的に人権に基づくものであるべきであり、高齢者をすべての人権の完全かつ平等な享有を認められた完全な権利主体として確認すべきであるというものであった。多くの提出意見は、ニーズ基盤型または医療化されたア</w:t>
      </w:r>
      <w:r w:rsidRPr="003463E7">
        <w:rPr>
          <w:rFonts w:ascii="Segoe UI" w:eastAsia="ＭＳ Ｐゴシック" w:hAnsi="Segoe UI" w:cs="Segoe UI"/>
          <w:kern w:val="0"/>
          <w:szCs w:val="21"/>
          <w14:ligatures w14:val="none"/>
        </w:rPr>
        <w:lastRenderedPageBreak/>
        <w:t>プローチから離れ、高齢者の自律性、主体性、尊厳及び強制可能な権利の認識へと向かうパラダイムシフトの重要性を強調した。</w:t>
      </w:r>
    </w:p>
    <w:p w14:paraId="01C7BBC3" w14:textId="77777777" w:rsidR="003463E7" w:rsidRPr="003463E7"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3463E7">
        <w:rPr>
          <w:rFonts w:ascii="Segoe UI" w:eastAsia="ＭＳ Ｐゴシック" w:hAnsi="Segoe UI" w:cs="Segoe UI"/>
          <w:b/>
          <w:bCs/>
          <w:kern w:val="0"/>
          <w:szCs w:val="21"/>
          <w14:ligatures w14:val="none"/>
        </w:rPr>
        <w:t>4</w:t>
      </w:r>
      <w:r w:rsidRPr="003463E7">
        <w:rPr>
          <w:rFonts w:ascii="Segoe UI" w:eastAsia="ＭＳ Ｐゴシック" w:hAnsi="Segoe UI" w:cs="Segoe UI"/>
          <w:b/>
          <w:bCs/>
          <w:kern w:val="0"/>
          <w:szCs w:val="21"/>
          <w14:ligatures w14:val="none"/>
        </w:rPr>
        <w:t>．</w:t>
      </w:r>
      <w:r w:rsidRPr="003463E7">
        <w:rPr>
          <w:rFonts w:ascii="Segoe UI" w:eastAsia="ＭＳ Ｐゴシック" w:hAnsi="Segoe UI" w:cs="Segoe UI"/>
          <w:kern w:val="0"/>
          <w:szCs w:val="21"/>
          <w14:ligatures w14:val="none"/>
        </w:rPr>
        <w:t xml:space="preserve"> </w:t>
      </w:r>
      <w:r w:rsidRPr="003463E7">
        <w:rPr>
          <w:rFonts w:ascii="Segoe UI" w:eastAsia="ＭＳ Ｐゴシック" w:hAnsi="Segoe UI" w:cs="Segoe UI"/>
          <w:kern w:val="0"/>
          <w:szCs w:val="21"/>
          <w14:ligatures w14:val="none"/>
        </w:rPr>
        <w:t>いくつかの国家は、既存の人権条約が実際の人権の効果的な享有につながっておらず、高</w:t>
      </w:r>
      <w:r w:rsidRPr="005D00B3">
        <w:rPr>
          <w:rFonts w:ascii="Segoe UI" w:eastAsia="ＭＳ Ｐゴシック" w:hAnsi="Segoe UI" w:cs="Segoe UI"/>
          <w:kern w:val="0"/>
          <w:szCs w:val="21"/>
          <w14:ligatures w14:val="none"/>
        </w:rPr>
        <w:t>齢者は法的・政策的枠組みにおいて依然として十分に可視化されていないと強調した。この意味において、包括的枠組みは追加的な保護層として、また国際人権法の中で高齢者を体系的に可視化し、排除、差別及び放置の持続的なパターンに対処するための手段として説明された。高齢者に特化した法的拘束力のある文書が存在しない状況では、高齢者の人権は既存の国際人権条約に分散したままであり、根強いエイジズムを含む要因により実際の適用が効果的に行われていないことが多いことが強調された。加齢と老年期という固有の文脈に対して普遍的人権が真に適用されることを確保するためには、新たな文書が必要とされる。</w:t>
      </w:r>
    </w:p>
    <w:p w14:paraId="667ACFD9" w14:textId="46330AB4" w:rsidR="003463E7" w:rsidRPr="003463E7"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3463E7">
        <w:rPr>
          <w:rFonts w:ascii="Segoe UI" w:eastAsia="ＭＳ Ｐゴシック" w:hAnsi="Segoe UI" w:cs="Segoe UI"/>
          <w:b/>
          <w:bCs/>
          <w:kern w:val="0"/>
          <w:szCs w:val="21"/>
          <w14:ligatures w14:val="none"/>
        </w:rPr>
        <w:t>5</w:t>
      </w:r>
      <w:r w:rsidRPr="003463E7">
        <w:rPr>
          <w:rFonts w:ascii="Segoe UI" w:eastAsia="ＭＳ Ｐゴシック" w:hAnsi="Segoe UI" w:cs="Segoe UI"/>
          <w:b/>
          <w:bCs/>
          <w:kern w:val="0"/>
          <w:szCs w:val="21"/>
          <w14:ligatures w14:val="none"/>
        </w:rPr>
        <w:t>．</w:t>
      </w:r>
      <w:r w:rsidRPr="003463E7">
        <w:rPr>
          <w:rFonts w:ascii="Segoe UI" w:eastAsia="ＭＳ Ｐゴシック" w:hAnsi="Segoe UI" w:cs="Segoe UI"/>
          <w:kern w:val="0"/>
          <w:szCs w:val="21"/>
          <w14:ligatures w14:val="none"/>
        </w:rPr>
        <w:t xml:space="preserve"> </w:t>
      </w:r>
      <w:r w:rsidRPr="003463E7">
        <w:rPr>
          <w:rFonts w:ascii="Segoe UI" w:eastAsia="ＭＳ Ｐゴシック" w:hAnsi="Segoe UI" w:cs="Segoe UI"/>
          <w:kern w:val="0"/>
          <w:szCs w:val="21"/>
          <w14:ligatures w14:val="none"/>
        </w:rPr>
        <w:t>いくつかの国家は、権利の内容と解釈における整合性を確保し、矛盾や混乱を回避するために、将来の文書が国連憲章、世界人権宣言及び</w:t>
      </w:r>
      <w:r w:rsidRPr="003463E7">
        <w:rPr>
          <w:rFonts w:ascii="Segoe UI" w:eastAsia="ＭＳ Ｐゴシック" w:hAnsi="Segoe UI" w:cs="Segoe UI"/>
          <w:kern w:val="0"/>
          <w:szCs w:val="21"/>
          <w14:ligatures w14:val="none"/>
        </w:rPr>
        <w:t>2</w:t>
      </w:r>
      <w:r w:rsidRPr="003463E7">
        <w:rPr>
          <w:rFonts w:ascii="Segoe UI" w:eastAsia="ＭＳ Ｐゴシック" w:hAnsi="Segoe UI" w:cs="Segoe UI"/>
          <w:kern w:val="0"/>
          <w:szCs w:val="21"/>
          <w14:ligatures w14:val="none"/>
        </w:rPr>
        <w:t>つの国際規約に、そしてより広く既存の国際</w:t>
      </w:r>
      <w:r w:rsidRPr="00FD1AEC">
        <w:rPr>
          <w:rFonts w:ascii="Segoe UI" w:eastAsia="ＭＳ Ｐゴシック" w:hAnsi="Segoe UI" w:cs="Segoe UI"/>
          <w:kern w:val="0"/>
          <w:szCs w:val="21"/>
          <w14:ligatures w14:val="none"/>
        </w:rPr>
        <w:t>人権</w:t>
      </w:r>
      <w:r w:rsidR="007B50F8" w:rsidRPr="00FD1AEC">
        <w:rPr>
          <w:rFonts w:ascii="Segoe UI" w:eastAsia="ＭＳ Ｐゴシック" w:hAnsi="Segoe UI" w:cs="Segoe UI" w:hint="eastAsia"/>
          <w:kern w:val="0"/>
          <w:szCs w:val="21"/>
          <w14:ligatures w14:val="none"/>
        </w:rPr>
        <w:t>法の蓄積</w:t>
      </w:r>
      <w:r w:rsidRPr="00FD1AEC">
        <w:rPr>
          <w:rFonts w:ascii="Segoe UI" w:eastAsia="ＭＳ Ｐゴシック" w:hAnsi="Segoe UI" w:cs="Segoe UI"/>
          <w:kern w:val="0"/>
          <w:szCs w:val="21"/>
          <w14:ligatures w14:val="none"/>
        </w:rPr>
        <w:t>に基礎を置くべきことを強調した。いくつかの国家は、交渉プロセスにおいて、既存の条約規定を参照することにより、どの権利が高齢者にすでに保障されているか、また将来の文書が適用の明確化、</w:t>
      </w:r>
      <w:bookmarkStart w:id="0" w:name="_Hlk238410154"/>
      <w:r w:rsidR="003C6772" w:rsidRPr="00FD1AEC">
        <w:rPr>
          <w:rFonts w:ascii="Segoe UI" w:eastAsia="ＭＳ Ｐゴシック" w:hAnsi="Segoe UI" w:cs="Segoe UI" w:hint="eastAsia"/>
          <w:kern w:val="0"/>
          <w:szCs w:val="21"/>
          <w14:ligatures w14:val="none"/>
        </w:rPr>
        <w:t>保障</w:t>
      </w:r>
      <w:bookmarkEnd w:id="0"/>
      <w:r w:rsidRPr="00FD1AEC">
        <w:rPr>
          <w:rFonts w:ascii="Segoe UI" w:eastAsia="ＭＳ Ｐゴシック" w:hAnsi="Segoe UI" w:cs="Segoe UI"/>
          <w:kern w:val="0"/>
          <w:szCs w:val="21"/>
          <w14:ligatures w14:val="none"/>
        </w:rPr>
        <w:t>の強化またはギャップの補填においてどのような付加価値をもたらすか</w:t>
      </w:r>
      <w:r w:rsidRPr="003463E7">
        <w:rPr>
          <w:rFonts w:ascii="Segoe UI" w:eastAsia="ＭＳ Ｐゴシック" w:hAnsi="Segoe UI" w:cs="Segoe UI"/>
          <w:kern w:val="0"/>
          <w:szCs w:val="21"/>
          <w14:ligatures w14:val="none"/>
        </w:rPr>
        <w:t>を明確にすべきと主張した。ある提出意見はさらに、重複を避けて付加価値を確保するために、明確化または規範的発展が必要な箇所を正確に特定するための方法論的ステップとして、既存の条約規定の体系的比較マッピングの必要性を強調した。</w:t>
      </w:r>
    </w:p>
    <w:p w14:paraId="1084B7E4" w14:textId="2F2E815F" w:rsidR="003463E7" w:rsidRPr="003463E7"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FD1AEC">
        <w:rPr>
          <w:rFonts w:ascii="Segoe UI" w:eastAsia="ＭＳ Ｐゴシック" w:hAnsi="Segoe UI" w:cs="Segoe UI"/>
          <w:b/>
          <w:bCs/>
          <w:kern w:val="0"/>
          <w:szCs w:val="21"/>
          <w14:ligatures w14:val="none"/>
        </w:rPr>
        <w:t>6</w:t>
      </w:r>
      <w:r w:rsidRPr="00FD1AEC">
        <w:rPr>
          <w:rFonts w:ascii="Segoe UI" w:eastAsia="ＭＳ Ｐゴシック" w:hAnsi="Segoe UI" w:cs="Segoe UI"/>
          <w:b/>
          <w:bCs/>
          <w:kern w:val="0"/>
          <w:szCs w:val="21"/>
          <w14:ligatures w14:val="none"/>
        </w:rPr>
        <w:t>．</w:t>
      </w:r>
      <w:r w:rsidRPr="00FD1AEC">
        <w:rPr>
          <w:rFonts w:ascii="Segoe UI" w:eastAsia="ＭＳ Ｐゴシック" w:hAnsi="Segoe UI" w:cs="Segoe UI"/>
          <w:kern w:val="0"/>
          <w:szCs w:val="21"/>
          <w14:ligatures w14:val="none"/>
        </w:rPr>
        <w:t xml:space="preserve"> </w:t>
      </w:r>
      <w:r w:rsidRPr="00FD1AEC">
        <w:rPr>
          <w:rFonts w:ascii="Segoe UI" w:eastAsia="ＭＳ Ｐゴシック" w:hAnsi="Segoe UI" w:cs="Segoe UI"/>
          <w:kern w:val="0"/>
          <w:szCs w:val="21"/>
          <w14:ligatures w14:val="none"/>
        </w:rPr>
        <w:t>いくつかの国家からの提出意見は、高齢化に関する</w:t>
      </w:r>
      <w:r w:rsidR="00FD7658" w:rsidRPr="00FD1AEC">
        <w:rPr>
          <w:rFonts w:ascii="Segoe UI" w:eastAsia="ＭＳ Ｐゴシック" w:hAnsi="Segoe UI" w:cs="Segoe UI" w:hint="eastAsia"/>
          <w:kern w:val="0"/>
          <w:szCs w:val="21"/>
          <w14:ligatures w14:val="none"/>
        </w:rPr>
        <w:t>オープンエンド</w:t>
      </w:r>
      <w:r w:rsidRPr="00FD1AEC">
        <w:rPr>
          <w:rFonts w:ascii="Segoe UI" w:eastAsia="ＭＳ Ｐゴシック" w:hAnsi="Segoe UI" w:cs="Segoe UI"/>
          <w:kern w:val="0"/>
          <w:szCs w:val="21"/>
          <w14:ligatures w14:val="none"/>
        </w:rPr>
        <w:t>作業部会の作業、関連する</w:t>
      </w:r>
      <w:r w:rsidRPr="00FD1AEC">
        <w:rPr>
          <w:rFonts w:ascii="Segoe UI" w:eastAsia="ＭＳ Ｐゴシック" w:hAnsi="Segoe UI" w:cs="Segoe UI"/>
          <w:kern w:val="0"/>
          <w:szCs w:val="21"/>
          <w14:ligatures w14:val="none"/>
        </w:rPr>
        <w:t>OHCHR</w:t>
      </w:r>
      <w:r w:rsidRPr="00FD1AEC">
        <w:rPr>
          <w:rFonts w:ascii="Segoe UI" w:eastAsia="ＭＳ Ｐゴシック" w:hAnsi="Segoe UI" w:cs="Segoe UI"/>
          <w:kern w:val="0"/>
          <w:szCs w:val="21"/>
          <w14:ligatures w14:val="none"/>
        </w:rPr>
        <w:t>の分析、並びにマドリード高齢化国際行動計画及び持続可能な開発のための</w:t>
      </w:r>
      <w:r w:rsidRPr="00FD1AEC">
        <w:rPr>
          <w:rFonts w:ascii="Segoe UI" w:eastAsia="ＭＳ Ｐゴシック" w:hAnsi="Segoe UI" w:cs="Segoe UI"/>
          <w:kern w:val="0"/>
          <w:szCs w:val="21"/>
          <w14:ligatures w14:val="none"/>
        </w:rPr>
        <w:t>2030</w:t>
      </w:r>
      <w:r w:rsidRPr="00FD1AEC">
        <w:rPr>
          <w:rFonts w:ascii="Segoe UI" w:eastAsia="ＭＳ Ｐゴシック" w:hAnsi="Segoe UI" w:cs="Segoe UI"/>
          <w:kern w:val="0"/>
          <w:szCs w:val="21"/>
          <w14:ligatures w14:val="none"/>
        </w:rPr>
        <w:t>アジェンダなどの政策枠組みを含む、先行プロセス及び規範的素材を活用することの重要性を強調した。これらは、「誰一人取り残さない」というコミットメントを含む、ギャップの特定及び文書の目標の設定のための貴重な指針として提示された。この点に関し、ある回答は、既存のソフトロー枠組みが不十分であることが証明されており、高齢者を強制可能な</w:t>
      </w:r>
      <w:r w:rsidR="003C6772" w:rsidRPr="00FD1AEC">
        <w:rPr>
          <w:rFonts w:ascii="Segoe UI" w:eastAsia="ＭＳ Ｐゴシック" w:hAnsi="Segoe UI" w:cs="Segoe UI" w:hint="eastAsia"/>
          <w:kern w:val="0"/>
          <w:szCs w:val="21"/>
          <w14:ligatures w14:val="none"/>
        </w:rPr>
        <w:t>保障の</w:t>
      </w:r>
      <w:r w:rsidRPr="00FD1AEC">
        <w:rPr>
          <w:rFonts w:ascii="Segoe UI" w:eastAsia="ＭＳ Ｐゴシック" w:hAnsi="Segoe UI" w:cs="Segoe UI"/>
          <w:kern w:val="0"/>
          <w:szCs w:val="21"/>
          <w14:ligatures w14:val="none"/>
        </w:rPr>
        <w:t>権利主体としてではなく、福祉の受け手として位置づける傾向があることを指摘した。</w:t>
      </w:r>
    </w:p>
    <w:p w14:paraId="4E8F5A34" w14:textId="77777777" w:rsidR="003463E7" w:rsidRPr="005D00B3"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3463E7">
        <w:rPr>
          <w:rFonts w:ascii="Segoe UI" w:eastAsia="ＭＳ Ｐゴシック" w:hAnsi="Segoe UI" w:cs="Segoe UI"/>
          <w:b/>
          <w:bCs/>
          <w:kern w:val="0"/>
          <w:szCs w:val="21"/>
          <w14:ligatures w14:val="none"/>
        </w:rPr>
        <w:t>7</w:t>
      </w:r>
      <w:r w:rsidRPr="003463E7">
        <w:rPr>
          <w:rFonts w:ascii="Segoe UI" w:eastAsia="ＭＳ Ｐゴシック" w:hAnsi="Segoe UI" w:cs="Segoe UI"/>
          <w:b/>
          <w:bCs/>
          <w:kern w:val="0"/>
          <w:szCs w:val="21"/>
          <w14:ligatures w14:val="none"/>
        </w:rPr>
        <w:t>．</w:t>
      </w:r>
      <w:r w:rsidRPr="003463E7">
        <w:rPr>
          <w:rFonts w:ascii="Segoe UI" w:eastAsia="ＭＳ Ｐゴシック" w:hAnsi="Segoe UI" w:cs="Segoe UI"/>
          <w:kern w:val="0"/>
          <w:szCs w:val="21"/>
          <w14:ligatures w14:val="none"/>
        </w:rPr>
        <w:t xml:space="preserve"> </w:t>
      </w:r>
      <w:r w:rsidRPr="003463E7">
        <w:rPr>
          <w:rFonts w:ascii="Segoe UI" w:eastAsia="ＭＳ Ｐゴシック" w:hAnsi="Segoe UI" w:cs="Segoe UI"/>
          <w:kern w:val="0"/>
          <w:szCs w:val="21"/>
          <w14:ligatures w14:val="none"/>
        </w:rPr>
        <w:t>この文脈において、いくつかの国家は将来の文書を、中核的な国際人権条約体系の一部となり、高齢者に適用されるすべての権利と義務を統合・明確化する包括的条約として説明した。あ</w:t>
      </w:r>
      <w:r w:rsidRPr="005D00B3">
        <w:rPr>
          <w:rFonts w:ascii="Segoe UI" w:eastAsia="ＭＳ Ｐゴシック" w:hAnsi="Segoe UI" w:cs="Segoe UI"/>
          <w:kern w:val="0"/>
          <w:szCs w:val="21"/>
          <w14:ligatures w14:val="none"/>
        </w:rPr>
        <w:t>る提出意見は、文書の範囲の広さにかかわらず、論争的となりうる、または実施が困難な定義や表現の導入を避けるべきことを強調した。また、新たな文書は不必要な重複を避け、補完性に焦点を当て、報告要請及び条約機関のリソースを含め、国家及び国連システムにとって持続可能な方法で設計されるべきと強調した意見もあった。この点に関し、追加的な報告・監視要件が国家及び既存の条約機関に与える財政的・制度的影響を考慮する必要性も強調された。</w:t>
      </w:r>
    </w:p>
    <w:p w14:paraId="6C845574" w14:textId="77777777" w:rsidR="003463E7" w:rsidRPr="003463E7"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lastRenderedPageBreak/>
        <w:t>8</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エイジズムと年齢に基づく差別は、老年期における権利侵害の構造的要因として、また包括</w:t>
      </w:r>
      <w:r w:rsidRPr="003463E7">
        <w:rPr>
          <w:rFonts w:ascii="Segoe UI" w:eastAsia="ＭＳ Ｐゴシック" w:hAnsi="Segoe UI" w:cs="Segoe UI"/>
          <w:kern w:val="0"/>
          <w:szCs w:val="21"/>
          <w14:ligatures w14:val="none"/>
        </w:rPr>
        <w:t>的枠組みが対処すべき中心的課題として繰り返し特定された。多くの提出意見は、エイジズムは露骨な差別的取り扱いのみならず、不可視化、ステレオタイプ化、制度的排除及び自律性に対するパターナリスティックな制限の常態化によっても機能すると主張した。したがって、枠組みはエイジズムを独自かつ固有の害の形態として明示的に特定し、新興技術環境も含め、法律、政策及び実践においてエイジズムを防止・抑制するための措置を国家に求めるべきと強調した。</w:t>
      </w:r>
    </w:p>
    <w:p w14:paraId="2BCF37CE" w14:textId="2A0FD461" w:rsidR="003463E7" w:rsidRPr="00FD1AEC"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3463E7">
        <w:rPr>
          <w:rFonts w:ascii="Segoe UI" w:eastAsia="ＭＳ Ｐゴシック" w:hAnsi="Segoe UI" w:cs="Segoe UI"/>
          <w:b/>
          <w:bCs/>
          <w:kern w:val="0"/>
          <w:szCs w:val="21"/>
          <w14:ligatures w14:val="none"/>
        </w:rPr>
        <w:t>9</w:t>
      </w:r>
      <w:r w:rsidRPr="003463E7">
        <w:rPr>
          <w:rFonts w:ascii="Segoe UI" w:eastAsia="ＭＳ Ｐゴシック" w:hAnsi="Segoe UI" w:cs="Segoe UI"/>
          <w:b/>
          <w:bCs/>
          <w:kern w:val="0"/>
          <w:szCs w:val="21"/>
          <w14:ligatures w14:val="none"/>
        </w:rPr>
        <w:t>．</w:t>
      </w:r>
      <w:r w:rsidRPr="003463E7">
        <w:rPr>
          <w:rFonts w:ascii="Segoe UI" w:eastAsia="ＭＳ Ｐゴシック" w:hAnsi="Segoe UI" w:cs="Segoe UI"/>
          <w:kern w:val="0"/>
          <w:szCs w:val="21"/>
          <w14:ligatures w14:val="none"/>
        </w:rPr>
        <w:t xml:space="preserve"> </w:t>
      </w:r>
      <w:r w:rsidRPr="003463E7">
        <w:rPr>
          <w:rFonts w:ascii="Segoe UI" w:eastAsia="ＭＳ Ｐゴシック" w:hAnsi="Segoe UI" w:cs="Segoe UI"/>
          <w:kern w:val="0"/>
          <w:szCs w:val="21"/>
          <w14:ligatures w14:val="none"/>
        </w:rPr>
        <w:t>いくつかの国家からの提出意見は、人種や性別などの事由による差別とは異なり、年齢はほ</w:t>
      </w:r>
      <w:r w:rsidRPr="00FD1AEC">
        <w:rPr>
          <w:rFonts w:ascii="Segoe UI" w:eastAsia="ＭＳ Ｐゴシック" w:hAnsi="Segoe UI" w:cs="Segoe UI"/>
          <w:kern w:val="0"/>
          <w:szCs w:val="21"/>
          <w14:ligatures w14:val="none"/>
        </w:rPr>
        <w:t>とんどの中核的国連人権条約の非差別条項に明示的に含まれておらず、これが</w:t>
      </w:r>
      <w:r w:rsidR="003C6772" w:rsidRPr="00FD1AEC">
        <w:rPr>
          <w:rFonts w:ascii="Segoe UI" w:eastAsia="ＭＳ Ｐゴシック" w:hAnsi="Segoe UI" w:cs="Segoe UI" w:hint="eastAsia"/>
          <w:kern w:val="0"/>
          <w:szCs w:val="21"/>
          <w14:ligatures w14:val="none"/>
        </w:rPr>
        <w:t>保障</w:t>
      </w:r>
      <w:r w:rsidRPr="00FD1AEC">
        <w:rPr>
          <w:rFonts w:ascii="Segoe UI" w:eastAsia="ＭＳ Ｐゴシック" w:hAnsi="Segoe UI" w:cs="Segoe UI"/>
          <w:kern w:val="0"/>
          <w:szCs w:val="21"/>
          <w14:ligatures w14:val="none"/>
        </w:rPr>
        <w:t>の不一致と限定的な司法審査可能性につながっていることを指摘した。そのため、新たな文書の主要な付加価値の一つは、明示的な年齢平等規範を確立し、公的・私的領域を横断した直接的・間接的な年齢差別の双方に対処するための整合的な基準を発展させることであると主張した。</w:t>
      </w:r>
    </w:p>
    <w:p w14:paraId="479CACA2" w14:textId="03207E79" w:rsidR="003463E7" w:rsidRPr="003463E7"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FD1AEC">
        <w:rPr>
          <w:rFonts w:ascii="Segoe UI" w:eastAsia="ＭＳ Ｐゴシック" w:hAnsi="Segoe UI" w:cs="Segoe UI"/>
          <w:b/>
          <w:bCs/>
          <w:kern w:val="0"/>
          <w:szCs w:val="21"/>
          <w14:ligatures w14:val="none"/>
        </w:rPr>
        <w:t>10</w:t>
      </w:r>
      <w:r w:rsidRPr="00FD1AEC">
        <w:rPr>
          <w:rFonts w:ascii="Segoe UI" w:eastAsia="ＭＳ Ｐゴシック" w:hAnsi="Segoe UI" w:cs="Segoe UI"/>
          <w:b/>
          <w:bCs/>
          <w:kern w:val="0"/>
          <w:szCs w:val="21"/>
          <w14:ligatures w14:val="none"/>
        </w:rPr>
        <w:t>．</w:t>
      </w:r>
      <w:r w:rsidRPr="00FD1AEC">
        <w:rPr>
          <w:rFonts w:ascii="Segoe UI" w:eastAsia="ＭＳ Ｐゴシック" w:hAnsi="Segoe UI" w:cs="Segoe UI"/>
          <w:kern w:val="0"/>
          <w:szCs w:val="21"/>
          <w14:ligatures w14:val="none"/>
        </w:rPr>
        <w:t xml:space="preserve"> </w:t>
      </w:r>
      <w:r w:rsidRPr="00FD1AEC">
        <w:rPr>
          <w:rFonts w:ascii="Segoe UI" w:eastAsia="ＭＳ Ｐゴシック" w:hAnsi="Segoe UI" w:cs="Segoe UI"/>
          <w:kern w:val="0"/>
          <w:szCs w:val="21"/>
          <w14:ligatures w14:val="none"/>
        </w:rPr>
        <w:t>さらにいくつかの提出意見は、包括的枠組みが人口動態の変化と長寿化を反映し、加齢に関する社会的理解を転換させる必要があることを強調した。枠組みは、</w:t>
      </w:r>
      <w:r w:rsidR="003C6772" w:rsidRPr="00FD1AEC">
        <w:rPr>
          <w:rFonts w:ascii="Segoe UI" w:eastAsia="ＭＳ Ｐゴシック" w:hAnsi="Segoe UI" w:cs="Segoe UI" w:hint="eastAsia"/>
          <w:kern w:val="0"/>
          <w:szCs w:val="21"/>
          <w14:ligatures w14:val="none"/>
        </w:rPr>
        <w:t>保障</w:t>
      </w:r>
      <w:r w:rsidRPr="00FD1AEC">
        <w:rPr>
          <w:rFonts w:ascii="Segoe UI" w:eastAsia="ＭＳ Ｐゴシック" w:hAnsi="Segoe UI" w:cs="Segoe UI"/>
          <w:kern w:val="0"/>
          <w:szCs w:val="21"/>
          <w14:ligatures w14:val="none"/>
        </w:rPr>
        <w:t>ギャップ、社会への</w:t>
      </w:r>
      <w:r w:rsidRPr="005D00B3">
        <w:rPr>
          <w:rFonts w:ascii="Segoe UI" w:eastAsia="ＭＳ Ｐゴシック" w:hAnsi="Segoe UI" w:cs="Segoe UI"/>
          <w:kern w:val="0"/>
          <w:szCs w:val="21"/>
          <w14:ligatures w14:val="none"/>
        </w:rPr>
        <w:t>貢献及び異なる生活の文脈を含め、高齢者が多様かつ異質であることを認識する必要があるとされた。いくつかの国家は、老年期を硬直した暦年齢の閾値に結び付けるべきではなく、機能的で汚名を着せない概念と定義を採用することを含め、文書が文脈に応じた適用を許容すべきことを</w:t>
      </w:r>
      <w:r w:rsidRPr="003463E7">
        <w:rPr>
          <w:rFonts w:ascii="Segoe UI" w:eastAsia="ＭＳ Ｐゴシック" w:hAnsi="Segoe UI" w:cs="Segoe UI"/>
          <w:kern w:val="0"/>
          <w:szCs w:val="21"/>
          <w14:ligatures w14:val="none"/>
        </w:rPr>
        <w:t>強調した。</w:t>
      </w:r>
    </w:p>
    <w:p w14:paraId="609791AD" w14:textId="472D2343" w:rsidR="003463E7" w:rsidRPr="005D00B3"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11</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多くの提出意見は、包括的枠組みがライフコース・アプローチを組み込むべきことを強調し</w:t>
      </w:r>
      <w:r w:rsidRPr="00FD1AEC">
        <w:rPr>
          <w:rFonts w:ascii="Segoe UI" w:eastAsia="ＭＳ Ｐゴシック" w:hAnsi="Segoe UI" w:cs="Segoe UI"/>
          <w:kern w:val="0"/>
          <w:szCs w:val="21"/>
          <w14:ligatures w14:val="none"/>
        </w:rPr>
        <w:t>た。このアプローチは、不利益が時間をかけて蓄積し老年期における結果を形成するという認識に基づく。このアプローチは、老年期における人権の享有を、生涯にわたる教育、雇用、社会的</w:t>
      </w:r>
      <w:r w:rsidR="003C6772" w:rsidRPr="00FD1AEC">
        <w:rPr>
          <w:rFonts w:ascii="Segoe UI" w:eastAsia="ＭＳ Ｐゴシック" w:hAnsi="Segoe UI" w:cs="Segoe UI" w:hint="eastAsia"/>
          <w:kern w:val="0"/>
          <w:szCs w:val="21"/>
          <w14:ligatures w14:val="none"/>
        </w:rPr>
        <w:t>保障</w:t>
      </w:r>
      <w:r w:rsidRPr="00FD1AEC">
        <w:rPr>
          <w:rFonts w:ascii="Segoe UI" w:eastAsia="ＭＳ Ｐゴシック" w:hAnsi="Segoe UI" w:cs="Segoe UI"/>
          <w:kern w:val="0"/>
          <w:szCs w:val="21"/>
          <w14:ligatures w14:val="none"/>
        </w:rPr>
        <w:t>及び健康への不平等なアクセスと結び付け、差し迫った障壁と根底にある構造的条件の双方</w:t>
      </w:r>
      <w:r w:rsidRPr="005D00B3">
        <w:rPr>
          <w:rFonts w:ascii="Segoe UI" w:eastAsia="ＭＳ Ｐゴシック" w:hAnsi="Segoe UI" w:cs="Segoe UI"/>
          <w:kern w:val="0"/>
          <w:szCs w:val="21"/>
          <w14:ligatures w14:val="none"/>
        </w:rPr>
        <w:t>に対処する戦略を支援するために必要とされた。</w:t>
      </w:r>
    </w:p>
    <w:p w14:paraId="31BC76FC" w14:textId="77777777" w:rsidR="003463E7" w:rsidRPr="003463E7"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12</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交差性の観点も国家から広く強調され、高齢者は均質なグループではなく、ジェンダー、障</w:t>
      </w:r>
      <w:r w:rsidRPr="003463E7">
        <w:rPr>
          <w:rFonts w:ascii="Segoe UI" w:eastAsia="ＭＳ Ｐゴシック" w:hAnsi="Segoe UI" w:cs="Segoe UI"/>
          <w:kern w:val="0"/>
          <w:szCs w:val="21"/>
          <w14:ligatures w14:val="none"/>
        </w:rPr>
        <w:t>害、社会経済的地位、民族性、移住背景、地理的孤立その他の地位に基づく複合的または交差的な差別の形態を経験しうるという指摘があった。いくつかの国家は、高齢女性と障害を持つ高齢者が人権の享有において高まった、または複合した課題に直面していることを強調し、包括的枠組みにジェンダー配慮型かつ障害包摂型のアプローチを組み込む必要性を強調した。</w:t>
      </w:r>
    </w:p>
    <w:p w14:paraId="262D72EC" w14:textId="77777777" w:rsidR="003463E7" w:rsidRPr="005D00B3"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13</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いくつかの提出意見は、包括的枠組みが高齢者を権利主体としてのみならず、家族・地域社会の生活及びより広い社会的・経済的発展への能動的な貢献者としても認識すべきであり、枠組みは社会的価値を専ら経済的生産性と結び付ける語りを回避すべきと主張した。これらの提出意見は、社会への高齢者の貢献の認識と、権利を可能にする枠組みの一環としての社会的孤立の防止を強調した。</w:t>
      </w:r>
    </w:p>
    <w:p w14:paraId="389E8540" w14:textId="7CF9282C" w:rsidR="003463E7" w:rsidRPr="003463E7"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FD1AEC">
        <w:rPr>
          <w:rFonts w:ascii="Segoe UI" w:eastAsia="ＭＳ Ｐゴシック" w:hAnsi="Segoe UI" w:cs="Segoe UI"/>
          <w:b/>
          <w:bCs/>
          <w:kern w:val="0"/>
          <w:szCs w:val="21"/>
          <w14:ligatures w14:val="none"/>
        </w:rPr>
        <w:lastRenderedPageBreak/>
        <w:t>14</w:t>
      </w:r>
      <w:r w:rsidRPr="00FD1AEC">
        <w:rPr>
          <w:rFonts w:ascii="Segoe UI" w:eastAsia="ＭＳ Ｐゴシック" w:hAnsi="Segoe UI" w:cs="Segoe UI"/>
          <w:b/>
          <w:bCs/>
          <w:kern w:val="0"/>
          <w:szCs w:val="21"/>
          <w14:ligatures w14:val="none"/>
        </w:rPr>
        <w:t>．</w:t>
      </w:r>
      <w:r w:rsidRPr="00FD1AEC">
        <w:rPr>
          <w:rFonts w:ascii="Segoe UI" w:eastAsia="ＭＳ Ｐゴシック" w:hAnsi="Segoe UI" w:cs="Segoe UI"/>
          <w:kern w:val="0"/>
          <w:szCs w:val="21"/>
          <w14:ligatures w14:val="none"/>
        </w:rPr>
        <w:t xml:space="preserve"> </w:t>
      </w:r>
      <w:r w:rsidRPr="00FD1AEC">
        <w:rPr>
          <w:rFonts w:ascii="Segoe UI" w:eastAsia="ＭＳ Ｐゴシック" w:hAnsi="Segoe UI" w:cs="Segoe UI"/>
          <w:kern w:val="0"/>
          <w:szCs w:val="21"/>
          <w14:ligatures w14:val="none"/>
        </w:rPr>
        <w:t>いくつかの国家は、急速なデジタル化、人工知能及びその他の新興技術、並びに災害及び気候変動を含む現代的課題によって高齢者が不均衡に影響を受ける分野において、枠組みが</w:t>
      </w:r>
      <w:r w:rsidR="003C6772" w:rsidRPr="00FD1AEC">
        <w:rPr>
          <w:rFonts w:ascii="Segoe UI" w:eastAsia="ＭＳ Ｐゴシック" w:hAnsi="Segoe UI" w:cs="Segoe UI" w:hint="eastAsia"/>
          <w:kern w:val="0"/>
          <w:szCs w:val="21"/>
          <w14:ligatures w14:val="none"/>
        </w:rPr>
        <w:t>保障</w:t>
      </w:r>
      <w:r w:rsidRPr="00FD1AEC">
        <w:rPr>
          <w:rFonts w:ascii="Segoe UI" w:eastAsia="ＭＳ Ｐゴシック" w:hAnsi="Segoe UI" w:cs="Segoe UI"/>
          <w:kern w:val="0"/>
          <w:szCs w:val="21"/>
          <w14:ligatures w14:val="none"/>
        </w:rPr>
        <w:t>を強化すべきことを強調した。技術とデジタル環境はしばしば人権享有の構造的決定要因とし</w:t>
      </w:r>
      <w:r w:rsidRPr="003463E7">
        <w:rPr>
          <w:rFonts w:ascii="Segoe UI" w:eastAsia="ＭＳ Ｐゴシック" w:hAnsi="Segoe UI" w:cs="Segoe UI"/>
          <w:kern w:val="0"/>
          <w:szCs w:val="21"/>
          <w14:ligatures w14:val="none"/>
        </w:rPr>
        <w:t>て位置づけられ、技術変化とデジタル化が権利の享有を拡大または制限しうること、またサービスがデジタル専用チャンネルに移行した場合に高齢者が排除、詐欺または差別のリスクが高まる可能性があることが強調された。また、デジタル技術、人工知能及び情報システムへのアクセスが人権行使のための可能条件として機能しうることも強調された。</w:t>
      </w:r>
    </w:p>
    <w:p w14:paraId="346AC6F6" w14:textId="77777777" w:rsidR="003463E7" w:rsidRPr="005D00B3"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3463E7">
        <w:rPr>
          <w:rFonts w:ascii="Segoe UI" w:eastAsia="ＭＳ Ｐゴシック" w:hAnsi="Segoe UI" w:cs="Segoe UI"/>
          <w:b/>
          <w:bCs/>
          <w:kern w:val="0"/>
          <w:szCs w:val="21"/>
          <w14:ligatures w14:val="none"/>
        </w:rPr>
        <w:t>15</w:t>
      </w:r>
      <w:r w:rsidRPr="003463E7">
        <w:rPr>
          <w:rFonts w:ascii="Segoe UI" w:eastAsia="ＭＳ Ｐゴシック" w:hAnsi="Segoe UI" w:cs="Segoe UI"/>
          <w:b/>
          <w:bCs/>
          <w:kern w:val="0"/>
          <w:szCs w:val="21"/>
          <w14:ligatures w14:val="none"/>
        </w:rPr>
        <w:t>．</w:t>
      </w:r>
      <w:r w:rsidRPr="003463E7">
        <w:rPr>
          <w:rFonts w:ascii="Segoe UI" w:eastAsia="ＭＳ Ｐゴシック" w:hAnsi="Segoe UI" w:cs="Segoe UI"/>
          <w:kern w:val="0"/>
          <w:szCs w:val="21"/>
          <w14:ligatures w14:val="none"/>
        </w:rPr>
        <w:t xml:space="preserve"> </w:t>
      </w:r>
      <w:r w:rsidRPr="003463E7">
        <w:rPr>
          <w:rFonts w:ascii="Segoe UI" w:eastAsia="ＭＳ Ｐゴシック" w:hAnsi="Segoe UI" w:cs="Segoe UI"/>
          <w:kern w:val="0"/>
          <w:szCs w:val="21"/>
          <w14:ligatures w14:val="none"/>
        </w:rPr>
        <w:t>いくつかの提出意見は、包括的枠組みが、社会経済的発展の水準、制度的能力及び資源制約の違いを含む各国の状況に適応可能であるべきことを強調した。適切な場合における経済的、社会的及び文化的権利の漸進的実現、技術協力の必要性、並びに国際的監視が主権及び</w:t>
      </w:r>
      <w:r w:rsidRPr="005D00B3">
        <w:rPr>
          <w:rFonts w:ascii="Segoe UI" w:eastAsia="ＭＳ Ｐゴシック" w:hAnsi="Segoe UI" w:cs="Segoe UI"/>
          <w:kern w:val="0"/>
          <w:szCs w:val="21"/>
          <w14:ligatures w14:val="none"/>
        </w:rPr>
        <w:t>国家の内政不干渉の原則と整合するよう確保することの重要性が強調された。</w:t>
      </w:r>
    </w:p>
    <w:p w14:paraId="7F5F959E" w14:textId="2625D528" w:rsidR="003463E7" w:rsidRPr="005D00B3"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16</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いくつかの国家からの提出意見は、老年期における権利行使を支援する家族・地域社会ネットワークの役割を特に強調した。権利はしばしば家族・地域社会による支援ネットワークの中で</w:t>
      </w:r>
      <w:r w:rsidRPr="00FD1AEC">
        <w:rPr>
          <w:rFonts w:ascii="Segoe UI" w:eastAsia="ＭＳ Ｐゴシック" w:hAnsi="Segoe UI" w:cs="Segoe UI"/>
          <w:kern w:val="0"/>
          <w:szCs w:val="21"/>
          <w14:ligatures w14:val="none"/>
        </w:rPr>
        <w:t>行使され、責任は家族、地域社会及び市民社会</w:t>
      </w:r>
      <w:r w:rsidR="006453A1" w:rsidRPr="00FD1AEC">
        <w:rPr>
          <w:rFonts w:ascii="Segoe UI" w:eastAsia="ＭＳ Ｐゴシック" w:hAnsi="Segoe UI" w:cs="Segoe UI" w:hint="eastAsia"/>
          <w:kern w:val="0"/>
          <w:szCs w:val="21"/>
          <w14:ligatures w14:val="none"/>
        </w:rPr>
        <w:t>が共有し、これを国家が補完する</w:t>
      </w:r>
      <w:r w:rsidRPr="00FD1AEC">
        <w:rPr>
          <w:rFonts w:ascii="Segoe UI" w:eastAsia="ＭＳ Ｐゴシック" w:hAnsi="Segoe UI" w:cs="Segoe UI"/>
          <w:kern w:val="0"/>
          <w:szCs w:val="21"/>
          <w14:ligatures w14:val="none"/>
        </w:rPr>
        <w:t>という指摘があった。別の提出意見は、家族による介護を主要な支援源として認識しつつ、国家の補完的な</w:t>
      </w:r>
      <w:r w:rsidR="003C6772" w:rsidRPr="00FD1AEC">
        <w:rPr>
          <w:rFonts w:ascii="Segoe UI" w:eastAsia="ＭＳ Ｐゴシック" w:hAnsi="Segoe UI" w:cs="Segoe UI" w:hint="eastAsia"/>
          <w:kern w:val="0"/>
          <w:szCs w:val="21"/>
          <w14:ligatures w14:val="none"/>
        </w:rPr>
        <w:t>保障</w:t>
      </w:r>
      <w:r w:rsidRPr="00FD1AEC">
        <w:rPr>
          <w:rFonts w:ascii="Segoe UI" w:eastAsia="ＭＳ Ｐゴシック" w:hAnsi="Segoe UI" w:cs="Segoe UI"/>
          <w:kern w:val="0"/>
          <w:szCs w:val="21"/>
          <w14:ligatures w14:val="none"/>
        </w:rPr>
        <w:t>・保証機能を明記した。また、家族と社会の役割を認めつつも、連帯や共同責任への言及が、人権を尊重、</w:t>
      </w:r>
      <w:r w:rsidR="003C6772" w:rsidRPr="00FD1AEC">
        <w:rPr>
          <w:rFonts w:ascii="Segoe UI" w:eastAsia="ＭＳ Ｐゴシック" w:hAnsi="Segoe UI" w:cs="Segoe UI" w:hint="eastAsia"/>
          <w:kern w:val="0"/>
          <w:szCs w:val="21"/>
          <w14:ligatures w14:val="none"/>
        </w:rPr>
        <w:t>保障</w:t>
      </w:r>
      <w:r w:rsidRPr="00FD1AEC">
        <w:rPr>
          <w:rFonts w:ascii="Segoe UI" w:eastAsia="ＭＳ Ｐゴシック" w:hAnsi="Segoe UI" w:cs="Segoe UI"/>
          <w:kern w:val="0"/>
          <w:szCs w:val="21"/>
          <w14:ligatures w14:val="none"/>
        </w:rPr>
        <w:t>及び実現する国家の第一義的責任を希薄化させたり、強制可能な義務を弱体</w:t>
      </w:r>
      <w:r w:rsidRPr="005D00B3">
        <w:rPr>
          <w:rFonts w:ascii="Segoe UI" w:eastAsia="ＭＳ Ｐゴシック" w:hAnsi="Segoe UI" w:cs="Segoe UI"/>
          <w:kern w:val="0"/>
          <w:szCs w:val="21"/>
          <w14:ligatures w14:val="none"/>
        </w:rPr>
        <w:t>化させたりしないよう注意深く起草されるべきと強調した意見もあった。</w:t>
      </w:r>
    </w:p>
    <w:p w14:paraId="10FBCED4" w14:textId="77777777" w:rsidR="003463E7" w:rsidRPr="003463E7"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17</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いくつかの国家からの提出意見は、既存の条約との重複の可能性、報告負担の増大及び概念拡張のリスクに関する懸念を指摘し、新たな枠組みが既存の規範を弱体化させない方法で</w:t>
      </w:r>
      <w:r w:rsidRPr="003463E7">
        <w:rPr>
          <w:rFonts w:ascii="Segoe UI" w:eastAsia="ＭＳ Ｐゴシック" w:hAnsi="Segoe UI" w:cs="Segoe UI"/>
          <w:kern w:val="0"/>
          <w:szCs w:val="21"/>
          <w14:ligatures w14:val="none"/>
        </w:rPr>
        <w:t>設計されるべきことを強調した。</w:t>
      </w:r>
    </w:p>
    <w:p w14:paraId="273A5B62" w14:textId="237A4DF3" w:rsidR="003463E7" w:rsidRPr="00FD1AEC"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3463E7">
        <w:rPr>
          <w:rFonts w:ascii="Segoe UI" w:eastAsia="ＭＳ Ｐゴシック" w:hAnsi="Segoe UI" w:cs="Segoe UI"/>
          <w:b/>
          <w:bCs/>
          <w:kern w:val="0"/>
          <w:szCs w:val="21"/>
          <w14:ligatures w14:val="none"/>
        </w:rPr>
        <w:t>18</w:t>
      </w:r>
      <w:r w:rsidRPr="003463E7">
        <w:rPr>
          <w:rFonts w:ascii="Segoe UI" w:eastAsia="ＭＳ Ｐゴシック" w:hAnsi="Segoe UI" w:cs="Segoe UI"/>
          <w:b/>
          <w:bCs/>
          <w:kern w:val="0"/>
          <w:szCs w:val="21"/>
          <w14:ligatures w14:val="none"/>
        </w:rPr>
        <w:t>．</w:t>
      </w:r>
      <w:r w:rsidRPr="003463E7">
        <w:rPr>
          <w:rFonts w:ascii="Segoe UI" w:eastAsia="ＭＳ Ｐゴシック" w:hAnsi="Segoe UI" w:cs="Segoe UI"/>
          <w:kern w:val="0"/>
          <w:szCs w:val="21"/>
          <w14:ligatures w14:val="none"/>
        </w:rPr>
        <w:t xml:space="preserve"> </w:t>
      </w:r>
      <w:r w:rsidRPr="003463E7">
        <w:rPr>
          <w:rFonts w:ascii="Segoe UI" w:eastAsia="ＭＳ Ｐゴシック" w:hAnsi="Segoe UI" w:cs="Segoe UI"/>
          <w:b/>
          <w:bCs/>
          <w:kern w:val="0"/>
          <w:szCs w:val="21"/>
          <w14:ligatures w14:val="none"/>
        </w:rPr>
        <w:t>高齢者によるすべての人権享有に関する独立専門家</w:t>
      </w:r>
      <w:r w:rsidRPr="003463E7">
        <w:rPr>
          <w:rFonts w:ascii="Segoe UI" w:eastAsia="ＭＳ Ｐゴシック" w:hAnsi="Segoe UI" w:cs="Segoe UI"/>
          <w:kern w:val="0"/>
          <w:szCs w:val="21"/>
          <w14:ligatures w14:val="none"/>
        </w:rPr>
        <w:t>は、その提出意見において、法的拘</w:t>
      </w:r>
      <w:r w:rsidRPr="00FD1AEC">
        <w:rPr>
          <w:rFonts w:ascii="Segoe UI" w:eastAsia="ＭＳ Ｐゴシック" w:hAnsi="Segoe UI" w:cs="Segoe UI"/>
          <w:kern w:val="0"/>
          <w:szCs w:val="21"/>
          <w14:ligatures w14:val="none"/>
        </w:rPr>
        <w:t>束力のある文書こそが高齢者の人権に対して最も強力かつ包括的な</w:t>
      </w:r>
      <w:r w:rsidR="003C6772" w:rsidRPr="00FD1AEC">
        <w:rPr>
          <w:rFonts w:ascii="Segoe UI" w:eastAsia="ＭＳ Ｐゴシック" w:hAnsi="Segoe UI" w:cs="Segoe UI" w:hint="eastAsia"/>
          <w:kern w:val="0"/>
          <w:szCs w:val="21"/>
          <w14:ligatures w14:val="none"/>
        </w:rPr>
        <w:t>保障</w:t>
      </w:r>
      <w:r w:rsidRPr="00FD1AEC">
        <w:rPr>
          <w:rFonts w:ascii="Segoe UI" w:eastAsia="ＭＳ Ｐゴシック" w:hAnsi="Segoe UI" w:cs="Segoe UI"/>
          <w:kern w:val="0"/>
          <w:szCs w:val="21"/>
          <w14:ligatures w14:val="none"/>
        </w:rPr>
        <w:t>を表すものであることを強調した。当該文書は人権に基づくアプローチに根ざし、高齢者の</w:t>
      </w:r>
      <w:r w:rsidR="003E5C5F" w:rsidRPr="00FD1AEC">
        <w:rPr>
          <w:rFonts w:ascii="Segoe UI" w:eastAsia="ＭＳ Ｐゴシック" w:hAnsi="Segoe UI" w:cs="Segoe UI" w:hint="eastAsia"/>
          <w:kern w:val="0"/>
          <w:szCs w:val="21"/>
          <w14:ligatures w14:val="none"/>
        </w:rPr>
        <w:t>保障</w:t>
      </w:r>
      <w:r w:rsidRPr="00FD1AEC">
        <w:rPr>
          <w:rFonts w:ascii="Segoe UI" w:eastAsia="ＭＳ Ｐゴシック" w:hAnsi="Segoe UI" w:cs="Segoe UI"/>
          <w:kern w:val="0"/>
          <w:szCs w:val="21"/>
          <w14:ligatures w14:val="none"/>
        </w:rPr>
        <w:t>におけるギャップに対処しながら、既存の国連の作業の上に構築されるべきとした。</w:t>
      </w:r>
    </w:p>
    <w:p w14:paraId="04D07335" w14:textId="45C21DC1" w:rsidR="003463E7" w:rsidRPr="003463E7"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FD1AEC">
        <w:rPr>
          <w:rFonts w:ascii="Segoe UI" w:eastAsia="ＭＳ Ｐゴシック" w:hAnsi="Segoe UI" w:cs="Segoe UI"/>
          <w:b/>
          <w:bCs/>
          <w:kern w:val="0"/>
          <w:szCs w:val="21"/>
          <w14:ligatures w14:val="none"/>
        </w:rPr>
        <w:t>19</w:t>
      </w:r>
      <w:r w:rsidRPr="00FD1AEC">
        <w:rPr>
          <w:rFonts w:ascii="Segoe UI" w:eastAsia="ＭＳ Ｐゴシック" w:hAnsi="Segoe UI" w:cs="Segoe UI"/>
          <w:b/>
          <w:bCs/>
          <w:kern w:val="0"/>
          <w:szCs w:val="21"/>
          <w14:ligatures w14:val="none"/>
        </w:rPr>
        <w:t>．</w:t>
      </w:r>
      <w:r w:rsidRPr="00FD1AEC">
        <w:rPr>
          <w:rFonts w:ascii="Segoe UI" w:eastAsia="ＭＳ Ｐゴシック" w:hAnsi="Segoe UI" w:cs="Segoe UI"/>
          <w:kern w:val="0"/>
          <w:szCs w:val="21"/>
          <w14:ligatures w14:val="none"/>
        </w:rPr>
        <w:t xml:space="preserve"> </w:t>
      </w:r>
      <w:r w:rsidRPr="00FD1AEC">
        <w:rPr>
          <w:rFonts w:ascii="Segoe UI" w:eastAsia="ＭＳ Ｐゴシック" w:hAnsi="Segoe UI" w:cs="Segoe UI"/>
          <w:b/>
          <w:bCs/>
          <w:kern w:val="0"/>
          <w:szCs w:val="21"/>
          <w14:ligatures w14:val="none"/>
        </w:rPr>
        <w:t>国内人権機関</w:t>
      </w:r>
      <w:r w:rsidRPr="00FD1AEC">
        <w:rPr>
          <w:rFonts w:ascii="Segoe UI" w:eastAsia="ＭＳ Ｐゴシック" w:hAnsi="Segoe UI" w:cs="Segoe UI"/>
          <w:kern w:val="0"/>
          <w:szCs w:val="21"/>
          <w14:ligatures w14:val="none"/>
        </w:rPr>
        <w:t>からの提出意見は、既存の国際的枠組みが断片的で高齢者に関して十分に明確化されておらず、その結果として国内レベルにおける持続的な</w:t>
      </w:r>
      <w:r w:rsidR="003E5C5F" w:rsidRPr="00FD1AEC">
        <w:rPr>
          <w:rFonts w:ascii="Segoe UI" w:eastAsia="ＭＳ Ｐゴシック" w:hAnsi="Segoe UI" w:cs="Segoe UI" w:hint="eastAsia"/>
          <w:kern w:val="0"/>
          <w:szCs w:val="21"/>
          <w14:ligatures w14:val="none"/>
        </w:rPr>
        <w:t>保障</w:t>
      </w:r>
      <w:r w:rsidRPr="00FD1AEC">
        <w:rPr>
          <w:rFonts w:ascii="Segoe UI" w:eastAsia="ＭＳ Ｐゴシック" w:hAnsi="Segoe UI" w:cs="Segoe UI"/>
          <w:kern w:val="0"/>
          <w:szCs w:val="21"/>
          <w14:ligatures w14:val="none"/>
        </w:rPr>
        <w:t>及び実施のギャップが生</w:t>
      </w:r>
      <w:r w:rsidRPr="003463E7">
        <w:rPr>
          <w:rFonts w:ascii="Segoe UI" w:eastAsia="ＭＳ Ｐゴシック" w:hAnsi="Segoe UI" w:cs="Segoe UI"/>
          <w:kern w:val="0"/>
          <w:szCs w:val="21"/>
          <w14:ligatures w14:val="none"/>
        </w:rPr>
        <w:t>じていることを強調した。高齢者に対する既存の権利の適用を明確化するとともに、エイジズム及び組織的な年齢差別に対処し、自律性、参加及び平等の原則を組み込みながら、高齢者を完全な権利主体として認識する方向への福祉志向型アプローチからの転換を確保する、国際法に根ざした変革的かつ人権に基づく枠組みの必要性を強調した。</w:t>
      </w:r>
    </w:p>
    <w:p w14:paraId="4BE058FF" w14:textId="77777777" w:rsidR="003463E7" w:rsidRPr="003463E7"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3463E7">
        <w:rPr>
          <w:rFonts w:ascii="Segoe UI" w:eastAsia="ＭＳ Ｐゴシック" w:hAnsi="Segoe UI" w:cs="Segoe UI"/>
          <w:b/>
          <w:bCs/>
          <w:kern w:val="0"/>
          <w:szCs w:val="21"/>
          <w14:ligatures w14:val="none"/>
        </w:rPr>
        <w:lastRenderedPageBreak/>
        <w:t>20</w:t>
      </w:r>
      <w:r w:rsidRPr="003463E7">
        <w:rPr>
          <w:rFonts w:ascii="Segoe UI" w:eastAsia="ＭＳ Ｐゴシック" w:hAnsi="Segoe UI" w:cs="Segoe UI"/>
          <w:b/>
          <w:bCs/>
          <w:kern w:val="0"/>
          <w:szCs w:val="21"/>
          <w14:ligatures w14:val="none"/>
        </w:rPr>
        <w:t>．</w:t>
      </w:r>
      <w:r w:rsidRPr="003463E7">
        <w:rPr>
          <w:rFonts w:ascii="Segoe UI" w:eastAsia="ＭＳ Ｐゴシック" w:hAnsi="Segoe UI" w:cs="Segoe UI"/>
          <w:kern w:val="0"/>
          <w:szCs w:val="21"/>
          <w14:ligatures w14:val="none"/>
        </w:rPr>
        <w:t xml:space="preserve"> </w:t>
      </w:r>
      <w:r w:rsidRPr="003463E7">
        <w:rPr>
          <w:rFonts w:ascii="Segoe UI" w:eastAsia="ＭＳ Ｐゴシック" w:hAnsi="Segoe UI" w:cs="Segoe UI"/>
          <w:kern w:val="0"/>
          <w:szCs w:val="21"/>
          <w14:ligatures w14:val="none"/>
        </w:rPr>
        <w:t>いくつかの</w:t>
      </w:r>
      <w:r w:rsidRPr="003463E7">
        <w:rPr>
          <w:rFonts w:ascii="Segoe UI" w:eastAsia="ＭＳ Ｐゴシック" w:hAnsi="Segoe UI" w:cs="Segoe UI"/>
          <w:kern w:val="0"/>
          <w:szCs w:val="21"/>
          <w14:ligatures w14:val="none"/>
        </w:rPr>
        <w:t>NHRI</w:t>
      </w:r>
      <w:r w:rsidRPr="003463E7">
        <w:rPr>
          <w:rFonts w:ascii="Segoe UI" w:eastAsia="ＭＳ Ｐゴシック" w:hAnsi="Segoe UI" w:cs="Segoe UI"/>
          <w:kern w:val="0"/>
          <w:szCs w:val="21"/>
          <w14:ligatures w14:val="none"/>
        </w:rPr>
        <w:t>はまた、不利益が時間をかけて蓄積し老年期における複合的かつ交差的な差別形態をもたらすという認識に基づき、ライフコース的及び交差的視点を統合することの重要性を強調した。また、高齢者の意味のある参加の確保、データ収集と可視化の強化、並びに暴力、長期ケア及び不十分な監督・説明責任メカニズムを含む分野において国内監視機能を通じて確認された持続的な実施ギャップへの対処の必要性を強調した。</w:t>
      </w:r>
    </w:p>
    <w:p w14:paraId="78C316EF" w14:textId="77777777" w:rsidR="003463E7" w:rsidRPr="003463E7"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3463E7">
        <w:rPr>
          <w:rFonts w:ascii="Segoe UI" w:eastAsia="ＭＳ Ｐゴシック" w:hAnsi="Segoe UI" w:cs="Segoe UI"/>
          <w:b/>
          <w:bCs/>
          <w:kern w:val="0"/>
          <w:szCs w:val="21"/>
          <w14:ligatures w14:val="none"/>
        </w:rPr>
        <w:t>21</w:t>
      </w:r>
      <w:r w:rsidRPr="003463E7">
        <w:rPr>
          <w:rFonts w:ascii="Segoe UI" w:eastAsia="ＭＳ Ｐゴシック" w:hAnsi="Segoe UI" w:cs="Segoe UI"/>
          <w:b/>
          <w:bCs/>
          <w:kern w:val="0"/>
          <w:szCs w:val="21"/>
          <w14:ligatures w14:val="none"/>
        </w:rPr>
        <w:t>．</w:t>
      </w:r>
      <w:r w:rsidRPr="003463E7">
        <w:rPr>
          <w:rFonts w:ascii="Segoe UI" w:eastAsia="ＭＳ Ｐゴシック" w:hAnsi="Segoe UI" w:cs="Segoe UI"/>
          <w:kern w:val="0"/>
          <w:szCs w:val="21"/>
          <w14:ligatures w14:val="none"/>
        </w:rPr>
        <w:t xml:space="preserve"> </w:t>
      </w:r>
      <w:r w:rsidRPr="003463E7">
        <w:rPr>
          <w:rFonts w:ascii="Segoe UI" w:eastAsia="ＭＳ Ｐゴシック" w:hAnsi="Segoe UI" w:cs="Segoe UI"/>
          <w:b/>
          <w:bCs/>
          <w:kern w:val="0"/>
          <w:szCs w:val="21"/>
          <w14:ligatures w14:val="none"/>
        </w:rPr>
        <w:t>国際機関</w:t>
      </w:r>
      <w:r w:rsidRPr="003463E7">
        <w:rPr>
          <w:rFonts w:ascii="Segoe UI" w:eastAsia="ＭＳ Ｐゴシック" w:hAnsi="Segoe UI" w:cs="Segoe UI"/>
          <w:kern w:val="0"/>
          <w:szCs w:val="21"/>
          <w14:ligatures w14:val="none"/>
        </w:rPr>
        <w:t>の回答は、老年期においてこれらの基準がどのように適用されるかを明確にしつつ、持続的な規範的ギャップに対処することを目的とした、既存の国際人権法に根ざした人権に基づく枠組みを支持した。ある回答は、文書は最低限の基準を単に再述するにとどまらず、保護を漸進的に強化し、国家の説明責任と個人の権利の双方を拡大することを目指すべきことを強調した。</w:t>
      </w:r>
    </w:p>
    <w:p w14:paraId="6F53C908" w14:textId="77777777" w:rsidR="003463E7" w:rsidRPr="003463E7"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3463E7">
        <w:rPr>
          <w:rFonts w:ascii="Segoe UI" w:eastAsia="ＭＳ Ｐゴシック" w:hAnsi="Segoe UI" w:cs="Segoe UI"/>
          <w:b/>
          <w:bCs/>
          <w:kern w:val="0"/>
          <w:szCs w:val="21"/>
          <w14:ligatures w14:val="none"/>
        </w:rPr>
        <w:t>22</w:t>
      </w:r>
      <w:r w:rsidRPr="003463E7">
        <w:rPr>
          <w:rFonts w:ascii="Segoe UI" w:eastAsia="ＭＳ Ｐゴシック" w:hAnsi="Segoe UI" w:cs="Segoe UI"/>
          <w:b/>
          <w:bCs/>
          <w:kern w:val="0"/>
          <w:szCs w:val="21"/>
          <w14:ligatures w14:val="none"/>
        </w:rPr>
        <w:t>．</w:t>
      </w:r>
      <w:r w:rsidRPr="003463E7">
        <w:rPr>
          <w:rFonts w:ascii="Segoe UI" w:eastAsia="ＭＳ Ｐゴシック" w:hAnsi="Segoe UI" w:cs="Segoe UI"/>
          <w:kern w:val="0"/>
          <w:szCs w:val="21"/>
          <w14:ligatures w14:val="none"/>
        </w:rPr>
        <w:t xml:space="preserve"> </w:t>
      </w:r>
      <w:r w:rsidRPr="003463E7">
        <w:rPr>
          <w:rFonts w:ascii="Segoe UI" w:eastAsia="ＭＳ Ｐゴシック" w:hAnsi="Segoe UI" w:cs="Segoe UI"/>
          <w:kern w:val="0"/>
          <w:szCs w:val="21"/>
          <w14:ligatures w14:val="none"/>
        </w:rPr>
        <w:t>各団体からの貢献全体にわたり、老年期におけるすべての人権の享有がジェンダー、障</w:t>
      </w:r>
      <w:r w:rsidRPr="005D00B3">
        <w:rPr>
          <w:rFonts w:ascii="Segoe UI" w:eastAsia="ＭＳ Ｐゴシック" w:hAnsi="Segoe UI" w:cs="Segoe UI"/>
          <w:kern w:val="0"/>
          <w:szCs w:val="21"/>
          <w14:ligatures w14:val="none"/>
        </w:rPr>
        <w:t>害、社会経済的地位及びその他の要因に関連した複合的かつ交差的な差別形態によって形成さ</w:t>
      </w:r>
      <w:r w:rsidRPr="003463E7">
        <w:rPr>
          <w:rFonts w:ascii="Segoe UI" w:eastAsia="ＭＳ Ｐゴシック" w:hAnsi="Segoe UI" w:cs="Segoe UI"/>
          <w:kern w:val="0"/>
          <w:szCs w:val="21"/>
          <w14:ligatures w14:val="none"/>
        </w:rPr>
        <w:t>れるという認識が強く強調された。高齢者の多様性を明示的に認識し、均質的または欠如に基づくアプローチを回避することの重要性も強調され、健康状態、文化、ジェンダー、社会経済的状況及び生活軌跡の違いが老年期における権利の結果を左右するとされた。</w:t>
      </w:r>
    </w:p>
    <w:p w14:paraId="7C541BA2" w14:textId="6D1F76B4" w:rsidR="003463E7" w:rsidRPr="003463E7"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3463E7">
        <w:rPr>
          <w:rFonts w:ascii="Segoe UI" w:eastAsia="ＭＳ Ｐゴシック" w:hAnsi="Segoe UI" w:cs="Segoe UI"/>
          <w:b/>
          <w:bCs/>
          <w:kern w:val="0"/>
          <w:szCs w:val="21"/>
          <w14:ligatures w14:val="none"/>
        </w:rPr>
        <w:t>23</w:t>
      </w:r>
      <w:r w:rsidRPr="003463E7">
        <w:rPr>
          <w:rFonts w:ascii="Segoe UI" w:eastAsia="ＭＳ Ｐゴシック" w:hAnsi="Segoe UI" w:cs="Segoe UI"/>
          <w:b/>
          <w:bCs/>
          <w:kern w:val="0"/>
          <w:szCs w:val="21"/>
          <w14:ligatures w14:val="none"/>
        </w:rPr>
        <w:t>．</w:t>
      </w:r>
      <w:r w:rsidRPr="003463E7">
        <w:rPr>
          <w:rFonts w:ascii="Segoe UI" w:eastAsia="ＭＳ Ｐゴシック" w:hAnsi="Segoe UI" w:cs="Segoe UI"/>
          <w:kern w:val="0"/>
          <w:szCs w:val="21"/>
          <w14:ligatures w14:val="none"/>
        </w:rPr>
        <w:t xml:space="preserve"> </w:t>
      </w:r>
      <w:r w:rsidRPr="003463E7">
        <w:rPr>
          <w:rFonts w:ascii="Segoe UI" w:eastAsia="ＭＳ Ｐゴシック" w:hAnsi="Segoe UI" w:cs="Segoe UI"/>
          <w:kern w:val="0"/>
          <w:szCs w:val="21"/>
          <w14:ligatures w14:val="none"/>
        </w:rPr>
        <w:t>また、ジェンダーに関する構造的不平等への対処の必要性も強調された。加齢は深くジェン</w:t>
      </w:r>
      <w:r w:rsidRPr="00FD1AEC">
        <w:rPr>
          <w:rFonts w:ascii="Segoe UI" w:eastAsia="ＭＳ Ｐゴシック" w:hAnsi="Segoe UI" w:cs="Segoe UI"/>
          <w:kern w:val="0"/>
          <w:szCs w:val="21"/>
          <w14:ligatures w14:val="none"/>
        </w:rPr>
        <w:t>ダー化されたプロセスとして説明され、高齢女性は貧困、排除及び社会的</w:t>
      </w:r>
      <w:r w:rsidR="003E5C5F" w:rsidRPr="00FD1AEC">
        <w:rPr>
          <w:rFonts w:ascii="Segoe UI" w:eastAsia="ＭＳ Ｐゴシック" w:hAnsi="Segoe UI" w:cs="Segoe UI" w:hint="eastAsia"/>
          <w:kern w:val="0"/>
          <w:szCs w:val="21"/>
          <w14:ligatures w14:val="none"/>
        </w:rPr>
        <w:t>保障</w:t>
      </w:r>
      <w:r w:rsidRPr="00FD1AEC">
        <w:rPr>
          <w:rFonts w:ascii="Segoe UI" w:eastAsia="ＭＳ Ｐゴシック" w:hAnsi="Segoe UI" w:cs="Segoe UI"/>
          <w:kern w:val="0"/>
          <w:szCs w:val="21"/>
          <w14:ligatures w14:val="none"/>
        </w:rPr>
        <w:t>への限られたアクセスによって不均衡に影響を受けるとされた。</w:t>
      </w:r>
    </w:p>
    <w:p w14:paraId="41B50D10" w14:textId="77777777" w:rsidR="003463E7" w:rsidRPr="003463E7"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3463E7">
        <w:rPr>
          <w:rFonts w:ascii="Segoe UI" w:eastAsia="ＭＳ Ｐゴシック" w:hAnsi="Segoe UI" w:cs="Segoe UI"/>
          <w:b/>
          <w:bCs/>
          <w:kern w:val="0"/>
          <w:szCs w:val="21"/>
          <w14:ligatures w14:val="none"/>
        </w:rPr>
        <w:t>24</w:t>
      </w:r>
      <w:r w:rsidRPr="003463E7">
        <w:rPr>
          <w:rFonts w:ascii="Segoe UI" w:eastAsia="ＭＳ Ｐゴシック" w:hAnsi="Segoe UI" w:cs="Segoe UI"/>
          <w:b/>
          <w:bCs/>
          <w:kern w:val="0"/>
          <w:szCs w:val="21"/>
          <w14:ligatures w14:val="none"/>
        </w:rPr>
        <w:t>．</w:t>
      </w:r>
      <w:r w:rsidRPr="003463E7">
        <w:rPr>
          <w:rFonts w:ascii="Segoe UI" w:eastAsia="ＭＳ Ｐゴシック" w:hAnsi="Segoe UI" w:cs="Segoe UI"/>
          <w:kern w:val="0"/>
          <w:szCs w:val="21"/>
          <w14:ligatures w14:val="none"/>
        </w:rPr>
        <w:t xml:space="preserve"> </w:t>
      </w:r>
      <w:r w:rsidRPr="003463E7">
        <w:rPr>
          <w:rFonts w:ascii="Segoe UI" w:eastAsia="ＭＳ Ｐゴシック" w:hAnsi="Segoe UI" w:cs="Segoe UI"/>
          <w:kern w:val="0"/>
          <w:szCs w:val="21"/>
          <w14:ligatures w14:val="none"/>
        </w:rPr>
        <w:t>ある回答は、枠組みが「健康的加齢（</w:t>
      </w:r>
      <w:r w:rsidRPr="003463E7">
        <w:rPr>
          <w:rFonts w:ascii="Segoe UI" w:eastAsia="ＭＳ Ｐゴシック" w:hAnsi="Segoe UI" w:cs="Segoe UI"/>
          <w:kern w:val="0"/>
          <w:szCs w:val="21"/>
          <w14:ligatures w14:val="none"/>
        </w:rPr>
        <w:t>healthy ageing</w:t>
      </w:r>
      <w:r w:rsidRPr="003463E7">
        <w:rPr>
          <w:rFonts w:ascii="Segoe UI" w:eastAsia="ＭＳ Ｐゴシック" w:hAnsi="Segoe UI" w:cs="Segoe UI"/>
          <w:kern w:val="0"/>
          <w:szCs w:val="21"/>
          <w14:ligatures w14:val="none"/>
        </w:rPr>
        <w:t>）」の概念、すなわちウェルビーイングを可能にする機能的能力を発展・維持するプロセスとして理解される概念によって導かれるべきであり、老年期における人権の享有が身体的、社会的、経済的及び政策的環境によって形成されることを指摘した。権利に対する統合的・システム基盤型アプローチの採用が強調され、特に医療・ケアに関連して、プロモーション、予防、プライマリ及び専門サービス、リハビリテーション、緩和ケア及び長期ケアを含む、ケアの全連続体を整合的かつ権利に基づく方法で対処する必要性が強調された。</w:t>
      </w:r>
    </w:p>
    <w:p w14:paraId="59C2F85A" w14:textId="77777777" w:rsidR="003463E7" w:rsidRPr="003463E7"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3463E7">
        <w:rPr>
          <w:rFonts w:ascii="Segoe UI" w:eastAsia="ＭＳ Ｐゴシック" w:hAnsi="Segoe UI" w:cs="Segoe UI"/>
          <w:b/>
          <w:bCs/>
          <w:kern w:val="0"/>
          <w:szCs w:val="21"/>
          <w14:ligatures w14:val="none"/>
        </w:rPr>
        <w:t>25</w:t>
      </w:r>
      <w:r w:rsidRPr="003463E7">
        <w:rPr>
          <w:rFonts w:ascii="Segoe UI" w:eastAsia="ＭＳ Ｐゴシック" w:hAnsi="Segoe UI" w:cs="Segoe UI"/>
          <w:b/>
          <w:bCs/>
          <w:kern w:val="0"/>
          <w:szCs w:val="21"/>
          <w14:ligatures w14:val="none"/>
        </w:rPr>
        <w:t>．</w:t>
      </w:r>
      <w:r w:rsidRPr="003463E7">
        <w:rPr>
          <w:rFonts w:ascii="Segoe UI" w:eastAsia="ＭＳ Ｐゴシック" w:hAnsi="Segoe UI" w:cs="Segoe UI"/>
          <w:kern w:val="0"/>
          <w:szCs w:val="21"/>
          <w14:ligatures w14:val="none"/>
        </w:rPr>
        <w:t xml:space="preserve"> </w:t>
      </w:r>
      <w:r w:rsidRPr="003463E7">
        <w:rPr>
          <w:rFonts w:ascii="Segoe UI" w:eastAsia="ＭＳ Ｐゴシック" w:hAnsi="Segoe UI" w:cs="Segoe UI"/>
          <w:kern w:val="0"/>
          <w:szCs w:val="21"/>
          <w14:ligatures w14:val="none"/>
        </w:rPr>
        <w:t>他の貢献は、高齢者がホームレス状態、不安定な土地保有及びアクセシブルなインフラの欠如などの制度的障壁に直面する、住宅、土地及び都市環境を含む特定のセクター及び文脈を枠組みが反映する必要性を強調した。</w:t>
      </w:r>
    </w:p>
    <w:p w14:paraId="27BE70DC" w14:textId="5E301B05" w:rsidR="003463E7" w:rsidRPr="003463E7"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3463E7">
        <w:rPr>
          <w:rFonts w:ascii="Segoe UI" w:eastAsia="ＭＳ Ｐゴシック" w:hAnsi="Segoe UI" w:cs="Segoe UI"/>
          <w:b/>
          <w:bCs/>
          <w:kern w:val="0"/>
          <w:szCs w:val="21"/>
          <w14:ligatures w14:val="none"/>
        </w:rPr>
        <w:t>26</w:t>
      </w:r>
      <w:r w:rsidRPr="003463E7">
        <w:rPr>
          <w:rFonts w:ascii="Segoe UI" w:eastAsia="ＭＳ Ｐゴシック" w:hAnsi="Segoe UI" w:cs="Segoe UI"/>
          <w:b/>
          <w:bCs/>
          <w:kern w:val="0"/>
          <w:szCs w:val="21"/>
          <w14:ligatures w14:val="none"/>
        </w:rPr>
        <w:t>．</w:t>
      </w:r>
      <w:r w:rsidRPr="003463E7">
        <w:rPr>
          <w:rFonts w:ascii="Segoe UI" w:eastAsia="ＭＳ Ｐゴシック" w:hAnsi="Segoe UI" w:cs="Segoe UI"/>
          <w:kern w:val="0"/>
          <w:szCs w:val="21"/>
          <w14:ligatures w14:val="none"/>
        </w:rPr>
        <w:t xml:space="preserve"> </w:t>
      </w:r>
      <w:r w:rsidRPr="003463E7">
        <w:rPr>
          <w:rFonts w:ascii="Segoe UI" w:eastAsia="ＭＳ Ｐゴシック" w:hAnsi="Segoe UI" w:cs="Segoe UI"/>
          <w:kern w:val="0"/>
          <w:szCs w:val="21"/>
          <w14:ligatures w14:val="none"/>
        </w:rPr>
        <w:t>最終的に、国際機関は、文書が規範的に精密で既存の枠組みと補完的であり、現行の人権メカニズムを複製または弱体化させること</w:t>
      </w:r>
      <w:r w:rsidRPr="00FD1AEC">
        <w:rPr>
          <w:rFonts w:ascii="Segoe UI" w:eastAsia="ＭＳ Ｐゴシック" w:hAnsi="Segoe UI" w:cs="Segoe UI"/>
          <w:kern w:val="0"/>
          <w:szCs w:val="21"/>
          <w14:ligatures w14:val="none"/>
        </w:rPr>
        <w:t>なく</w:t>
      </w:r>
      <w:r w:rsidR="003E5C5F" w:rsidRPr="00FD1AEC">
        <w:rPr>
          <w:rFonts w:ascii="Segoe UI" w:eastAsia="ＭＳ Ｐゴシック" w:hAnsi="Segoe UI" w:cs="Segoe UI" w:hint="eastAsia"/>
          <w:kern w:val="0"/>
          <w:szCs w:val="21"/>
          <w14:ligatures w14:val="none"/>
        </w:rPr>
        <w:t>保障</w:t>
      </w:r>
      <w:r w:rsidRPr="00FD1AEC">
        <w:rPr>
          <w:rFonts w:ascii="Segoe UI" w:eastAsia="ＭＳ Ｐゴシック" w:hAnsi="Segoe UI" w:cs="Segoe UI"/>
          <w:kern w:val="0"/>
          <w:szCs w:val="21"/>
          <w14:ligatures w14:val="none"/>
        </w:rPr>
        <w:t>を強</w:t>
      </w:r>
      <w:r w:rsidRPr="003463E7">
        <w:rPr>
          <w:rFonts w:ascii="Segoe UI" w:eastAsia="ＭＳ Ｐゴシック" w:hAnsi="Segoe UI" w:cs="Segoe UI"/>
          <w:kern w:val="0"/>
          <w:szCs w:val="21"/>
          <w14:ligatures w14:val="none"/>
        </w:rPr>
        <w:t>化すべきことを強調した。</w:t>
      </w:r>
    </w:p>
    <w:p w14:paraId="4FFC6B6E" w14:textId="2B9416A2" w:rsidR="003463E7" w:rsidRPr="00FD1AEC"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3463E7">
        <w:rPr>
          <w:rFonts w:ascii="Segoe UI" w:eastAsia="ＭＳ Ｐゴシック" w:hAnsi="Segoe UI" w:cs="Segoe UI"/>
          <w:b/>
          <w:bCs/>
          <w:kern w:val="0"/>
          <w:szCs w:val="21"/>
          <w14:ligatures w14:val="none"/>
        </w:rPr>
        <w:lastRenderedPageBreak/>
        <w:t>27</w:t>
      </w:r>
      <w:r w:rsidRPr="003463E7">
        <w:rPr>
          <w:rFonts w:ascii="Segoe UI" w:eastAsia="ＭＳ Ｐゴシック" w:hAnsi="Segoe UI" w:cs="Segoe UI"/>
          <w:b/>
          <w:bCs/>
          <w:kern w:val="0"/>
          <w:szCs w:val="21"/>
          <w14:ligatures w14:val="none"/>
        </w:rPr>
        <w:t>．</w:t>
      </w:r>
      <w:r w:rsidRPr="003463E7">
        <w:rPr>
          <w:rFonts w:ascii="Segoe UI" w:eastAsia="ＭＳ Ｐゴシック" w:hAnsi="Segoe UI" w:cs="Segoe UI"/>
          <w:kern w:val="0"/>
          <w:szCs w:val="21"/>
          <w14:ligatures w14:val="none"/>
        </w:rPr>
        <w:t xml:space="preserve"> </w:t>
      </w:r>
      <w:r w:rsidRPr="003463E7">
        <w:rPr>
          <w:rFonts w:ascii="Segoe UI" w:eastAsia="ＭＳ Ｐゴシック" w:hAnsi="Segoe UI" w:cs="Segoe UI"/>
          <w:b/>
          <w:bCs/>
          <w:kern w:val="0"/>
          <w:szCs w:val="21"/>
          <w14:ligatures w14:val="none"/>
        </w:rPr>
        <w:t>市民社会組織（</w:t>
      </w:r>
      <w:r w:rsidRPr="003463E7">
        <w:rPr>
          <w:rFonts w:ascii="Segoe UI" w:eastAsia="ＭＳ Ｐゴシック" w:hAnsi="Segoe UI" w:cs="Segoe UI"/>
          <w:b/>
          <w:bCs/>
          <w:kern w:val="0"/>
          <w:szCs w:val="21"/>
          <w14:ligatures w14:val="none"/>
        </w:rPr>
        <w:t>CSO</w:t>
      </w:r>
      <w:r w:rsidRPr="003463E7">
        <w:rPr>
          <w:rFonts w:ascii="Segoe UI" w:eastAsia="ＭＳ Ｐゴシック" w:hAnsi="Segoe UI" w:cs="Segoe UI"/>
          <w:b/>
          <w:bCs/>
          <w:kern w:val="0"/>
          <w:szCs w:val="21"/>
          <w14:ligatures w14:val="none"/>
        </w:rPr>
        <w:t>）</w:t>
      </w:r>
      <w:r w:rsidRPr="003463E7">
        <w:rPr>
          <w:rFonts w:ascii="Segoe UI" w:eastAsia="ＭＳ Ｐゴシック" w:hAnsi="Segoe UI" w:cs="Segoe UI"/>
          <w:kern w:val="0"/>
          <w:szCs w:val="21"/>
          <w14:ligatures w14:val="none"/>
        </w:rPr>
        <w:t xml:space="preserve"> </w:t>
      </w:r>
      <w:r w:rsidRPr="003463E7">
        <w:rPr>
          <w:rFonts w:ascii="Segoe UI" w:eastAsia="ＭＳ Ｐゴシック" w:hAnsi="Segoe UI" w:cs="Segoe UI"/>
          <w:kern w:val="0"/>
          <w:szCs w:val="21"/>
          <w14:ligatures w14:val="none"/>
        </w:rPr>
        <w:t>からの回答は、法的拘束力のある文書が、加齢に対する福祉、慈善及び医療化されたアプローチを断固として超えた、変革的かつ人権に基づく枠組みに根ざすべきであることを一貫して強調した。各提出意見全体において、ステークホルダーたちは、高齢者がケ</w:t>
      </w:r>
      <w:r w:rsidRPr="00FD1AEC">
        <w:rPr>
          <w:rFonts w:ascii="Segoe UI" w:eastAsia="ＭＳ Ｐゴシック" w:hAnsi="Segoe UI" w:cs="Segoe UI"/>
          <w:kern w:val="0"/>
          <w:szCs w:val="21"/>
          <w14:ligatures w14:val="none"/>
        </w:rPr>
        <w:t>アや</w:t>
      </w:r>
      <w:r w:rsidR="003E5C5F" w:rsidRPr="00FD1AEC">
        <w:rPr>
          <w:rFonts w:ascii="Segoe UI" w:eastAsia="ＭＳ Ｐゴシック" w:hAnsi="Segoe UI" w:cs="Segoe UI" w:hint="eastAsia"/>
          <w:kern w:val="0"/>
          <w:szCs w:val="21"/>
          <w14:ligatures w14:val="none"/>
        </w:rPr>
        <w:t>保障</w:t>
      </w:r>
      <w:r w:rsidRPr="00FD1AEC">
        <w:rPr>
          <w:rFonts w:ascii="Segoe UI" w:eastAsia="ＭＳ Ｐゴシック" w:hAnsi="Segoe UI" w:cs="Segoe UI"/>
          <w:kern w:val="0"/>
          <w:szCs w:val="21"/>
          <w14:ligatures w14:val="none"/>
        </w:rPr>
        <w:t>の受動的受益者としてではなく、すべての人権及び基本的自由の平等な享有を認められた完全な権利主体として認識されなければならないことを強調した。この点において、文書は違反に対処するだけでなく、現在、排除と不平等をもたらしている基底的な法的、制度的及び社会的枠組みを再形成することによって、変革的な役割を果たすことが期待される。</w:t>
      </w:r>
    </w:p>
    <w:p w14:paraId="21B24E0E" w14:textId="1E4A5784" w:rsidR="003463E7" w:rsidRPr="005D00B3"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FD1AEC">
        <w:rPr>
          <w:rFonts w:ascii="Segoe UI" w:eastAsia="ＭＳ Ｐゴシック" w:hAnsi="Segoe UI" w:cs="Segoe UI"/>
          <w:b/>
          <w:bCs/>
          <w:kern w:val="0"/>
          <w:szCs w:val="21"/>
          <w14:ligatures w14:val="none"/>
        </w:rPr>
        <w:t>28</w:t>
      </w:r>
      <w:r w:rsidRPr="00FD1AEC">
        <w:rPr>
          <w:rFonts w:ascii="Segoe UI" w:eastAsia="ＭＳ Ｐゴシック" w:hAnsi="Segoe UI" w:cs="Segoe UI"/>
          <w:b/>
          <w:bCs/>
          <w:kern w:val="0"/>
          <w:szCs w:val="21"/>
          <w14:ligatures w14:val="none"/>
        </w:rPr>
        <w:t>．</w:t>
      </w:r>
      <w:r w:rsidRPr="00FD1AEC">
        <w:rPr>
          <w:rFonts w:ascii="Segoe UI" w:eastAsia="ＭＳ Ｐゴシック" w:hAnsi="Segoe UI" w:cs="Segoe UI"/>
          <w:kern w:val="0"/>
          <w:szCs w:val="21"/>
          <w14:ligatures w14:val="none"/>
        </w:rPr>
        <w:t xml:space="preserve"> </w:t>
      </w:r>
      <w:r w:rsidRPr="00FD1AEC">
        <w:rPr>
          <w:rFonts w:ascii="Segoe UI" w:eastAsia="ＭＳ Ｐゴシック" w:hAnsi="Segoe UI" w:cs="Segoe UI"/>
          <w:kern w:val="0"/>
          <w:szCs w:val="21"/>
          <w14:ligatures w14:val="none"/>
        </w:rPr>
        <w:t>中心的かつ繰り返し現れた要素は、老年期における人権侵害の構造的・制度的根本原因としてのエイジズムの特定であった。ステークホルダーたちは、エイジズムが対人、制度、法律及び文化といった複数のレベルにわたって機能することを強調した。エイジズムは、医療、雇用、社会的</w:t>
      </w:r>
      <w:r w:rsidR="003E5C5F" w:rsidRPr="00FD1AEC">
        <w:rPr>
          <w:rFonts w:ascii="Segoe UI" w:eastAsia="ＭＳ Ｐゴシック" w:hAnsi="Segoe UI" w:cs="Segoe UI" w:hint="eastAsia"/>
          <w:kern w:val="0"/>
          <w:szCs w:val="21"/>
          <w14:ligatures w14:val="none"/>
        </w:rPr>
        <w:t>保障</w:t>
      </w:r>
      <w:r w:rsidRPr="00FD1AEC">
        <w:rPr>
          <w:rFonts w:ascii="Segoe UI" w:eastAsia="ＭＳ Ｐゴシック" w:hAnsi="Segoe UI" w:cs="Segoe UI"/>
          <w:kern w:val="0"/>
          <w:szCs w:val="21"/>
          <w14:ligatures w14:val="none"/>
        </w:rPr>
        <w:t>及び司法へのアクセスを含む諸セクターにおける高齢者の組織的な周縁化に寄与する。したがって、エイジズムへの対処には、その正式な禁止だけでなく、デジタル及び技術環境におい</w:t>
      </w:r>
      <w:r w:rsidRPr="005D00B3">
        <w:rPr>
          <w:rFonts w:ascii="Segoe UI" w:eastAsia="ＭＳ Ｐゴシック" w:hAnsi="Segoe UI" w:cs="Segoe UI"/>
          <w:kern w:val="0"/>
          <w:szCs w:val="21"/>
          <w14:ligatures w14:val="none"/>
        </w:rPr>
        <w:t>ても現れる構造的な発現を解体するための積極的かつ持続的な取り組みが求められる。</w:t>
      </w:r>
    </w:p>
    <w:p w14:paraId="50692290" w14:textId="77777777" w:rsidR="003463E7" w:rsidRPr="003463E7"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29</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提出意見はさらに、老年期に経験される不平等はめったに孤立したものではなく、差別、貧困、ジェンダー不平等及び排除の過去の経験によって形成されたライフコース全体にわたる累積的不利益を反映するものであることを強調した。これは、加齢を動態的なプロセスとして認識し、老年期をより広い社会経済的及び構造的軌跡の中に位置づけるライフコース・アプローチを採用</w:t>
      </w:r>
      <w:r w:rsidRPr="003463E7">
        <w:rPr>
          <w:rFonts w:ascii="Segoe UI" w:eastAsia="ＭＳ Ｐゴシック" w:hAnsi="Segoe UI" w:cs="Segoe UI"/>
          <w:kern w:val="0"/>
          <w:szCs w:val="21"/>
          <w14:ligatures w14:val="none"/>
        </w:rPr>
        <w:t>することの重要性を強調するものである。この文脈において、ステークホルダーたちは、効果的な対応が現在の状況とその根本的な決定要因の双方に対処しなければならないことを強調した。</w:t>
      </w:r>
    </w:p>
    <w:p w14:paraId="6C5FBFFB" w14:textId="77777777" w:rsidR="003463E7" w:rsidRPr="003463E7"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3463E7">
        <w:rPr>
          <w:rFonts w:ascii="Segoe UI" w:eastAsia="ＭＳ Ｐゴシック" w:hAnsi="Segoe UI" w:cs="Segoe UI"/>
          <w:b/>
          <w:bCs/>
          <w:kern w:val="0"/>
          <w:szCs w:val="21"/>
          <w14:ligatures w14:val="none"/>
        </w:rPr>
        <w:t>30</w:t>
      </w:r>
      <w:r w:rsidRPr="003463E7">
        <w:rPr>
          <w:rFonts w:ascii="Segoe UI" w:eastAsia="ＭＳ Ｐゴシック" w:hAnsi="Segoe UI" w:cs="Segoe UI"/>
          <w:b/>
          <w:bCs/>
          <w:kern w:val="0"/>
          <w:szCs w:val="21"/>
          <w14:ligatures w14:val="none"/>
        </w:rPr>
        <w:t>．</w:t>
      </w:r>
      <w:r w:rsidRPr="003463E7">
        <w:rPr>
          <w:rFonts w:ascii="Segoe UI" w:eastAsia="ＭＳ Ｐゴシック" w:hAnsi="Segoe UI" w:cs="Segoe UI"/>
          <w:kern w:val="0"/>
          <w:szCs w:val="21"/>
          <w14:ligatures w14:val="none"/>
        </w:rPr>
        <w:t xml:space="preserve"> </w:t>
      </w:r>
      <w:r w:rsidRPr="003463E7">
        <w:rPr>
          <w:rFonts w:ascii="Segoe UI" w:eastAsia="ＭＳ Ｐゴシック" w:hAnsi="Segoe UI" w:cs="Segoe UI"/>
          <w:kern w:val="0"/>
          <w:szCs w:val="21"/>
          <w14:ligatures w14:val="none"/>
        </w:rPr>
        <w:t>多様性、不平等及び交差性にも強い強調がなされており、高齢者は均質なグループではないという提出意見が強調された。</w:t>
      </w:r>
      <w:r w:rsidRPr="003463E7">
        <w:rPr>
          <w:rFonts w:ascii="Segoe UI" w:eastAsia="ＭＳ Ｐゴシック" w:hAnsi="Segoe UI" w:cs="Segoe UI"/>
          <w:kern w:val="0"/>
          <w:szCs w:val="21"/>
          <w14:ligatures w14:val="none"/>
        </w:rPr>
        <w:t>CSO</w:t>
      </w:r>
      <w:r w:rsidRPr="003463E7">
        <w:rPr>
          <w:rFonts w:ascii="Segoe UI" w:eastAsia="ＭＳ Ｐゴシック" w:hAnsi="Segoe UI" w:cs="Segoe UI"/>
          <w:kern w:val="0"/>
          <w:szCs w:val="21"/>
          <w14:ligatures w14:val="none"/>
        </w:rPr>
        <w:t>は、ジェンダー、障害、民族性、移住状況、社会経済的立場及び地理的位置に関連した複合的かつ交差的な差別形態を考慮する必要性を強調した。特に高齢女性、少数民族及び先住民族の状況、並びに文化的・言語的に多様なコミュニティに特別な注意が払われた。この点に関し、いくつかの提出意見は、差別、情報へのアクセスの制限、低い識字率及び社会経済的排除を含む構造的障壁が、実際の人権の享有を引き続き妨げていることを強調した。</w:t>
      </w:r>
    </w:p>
    <w:p w14:paraId="3054FFF0" w14:textId="77777777" w:rsidR="003463E7" w:rsidRPr="003463E7"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3463E7">
        <w:rPr>
          <w:rFonts w:ascii="Segoe UI" w:eastAsia="ＭＳ Ｐゴシック" w:hAnsi="Segoe UI" w:cs="Segoe UI"/>
          <w:b/>
          <w:bCs/>
          <w:kern w:val="0"/>
          <w:szCs w:val="21"/>
          <w14:ligatures w14:val="none"/>
        </w:rPr>
        <w:t>31</w:t>
      </w:r>
      <w:r w:rsidRPr="003463E7">
        <w:rPr>
          <w:rFonts w:ascii="Segoe UI" w:eastAsia="ＭＳ Ｐゴシック" w:hAnsi="Segoe UI" w:cs="Segoe UI"/>
          <w:b/>
          <w:bCs/>
          <w:kern w:val="0"/>
          <w:szCs w:val="21"/>
          <w14:ligatures w14:val="none"/>
        </w:rPr>
        <w:t>．</w:t>
      </w:r>
      <w:r w:rsidRPr="003463E7">
        <w:rPr>
          <w:rFonts w:ascii="Segoe UI" w:eastAsia="ＭＳ Ｐゴシック" w:hAnsi="Segoe UI" w:cs="Segoe UI"/>
          <w:kern w:val="0"/>
          <w:szCs w:val="21"/>
          <w14:ligatures w14:val="none"/>
        </w:rPr>
        <w:t xml:space="preserve"> </w:t>
      </w:r>
      <w:r w:rsidRPr="003463E7">
        <w:rPr>
          <w:rFonts w:ascii="Segoe UI" w:eastAsia="ＭＳ Ｐゴシック" w:hAnsi="Segoe UI" w:cs="Segoe UI"/>
          <w:kern w:val="0"/>
          <w:szCs w:val="21"/>
          <w14:ligatures w14:val="none"/>
        </w:rPr>
        <w:t>回答は、高齢者の人権がシステムの複雑さ、文化的に適切なサービスの欠如、言語障壁、デジタル排除及び負担可能性の制約といった構造的障壁のために実際にはしばしば効果的に実現されないことを強調した。その結果、文書は、システム設計及びサービス提供における適応を含め、規範が実際に機能的、アクセス可能かつ行動可能となることを確保すべきとされた。</w:t>
      </w:r>
    </w:p>
    <w:p w14:paraId="47EB687D" w14:textId="77777777" w:rsidR="003463E7" w:rsidRPr="005D00B3"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3463E7">
        <w:rPr>
          <w:rFonts w:ascii="Segoe UI" w:eastAsia="ＭＳ Ｐゴシック" w:hAnsi="Segoe UI" w:cs="Segoe UI"/>
          <w:b/>
          <w:bCs/>
          <w:kern w:val="0"/>
          <w:szCs w:val="21"/>
          <w14:ligatures w14:val="none"/>
        </w:rPr>
        <w:t>32</w:t>
      </w:r>
      <w:r w:rsidRPr="003463E7">
        <w:rPr>
          <w:rFonts w:ascii="Segoe UI" w:eastAsia="ＭＳ Ｐゴシック" w:hAnsi="Segoe UI" w:cs="Segoe UI"/>
          <w:b/>
          <w:bCs/>
          <w:kern w:val="0"/>
          <w:szCs w:val="21"/>
          <w14:ligatures w14:val="none"/>
        </w:rPr>
        <w:t>．</w:t>
      </w:r>
      <w:r w:rsidRPr="003463E7">
        <w:rPr>
          <w:rFonts w:ascii="Segoe UI" w:eastAsia="ＭＳ Ｐゴシック" w:hAnsi="Segoe UI" w:cs="Segoe UI"/>
          <w:kern w:val="0"/>
          <w:szCs w:val="21"/>
          <w14:ligatures w14:val="none"/>
        </w:rPr>
        <w:t xml:space="preserve"> </w:t>
      </w:r>
      <w:r w:rsidRPr="003463E7">
        <w:rPr>
          <w:rFonts w:ascii="Segoe UI" w:eastAsia="ＭＳ Ｐゴシック" w:hAnsi="Segoe UI" w:cs="Segoe UI"/>
          <w:kern w:val="0"/>
          <w:szCs w:val="21"/>
          <w14:ligatures w14:val="none"/>
        </w:rPr>
        <w:t>提出意見はまた、高齢者を主として依存や負担の観点から描く語りに異を唱え、社会への</w:t>
      </w:r>
      <w:r w:rsidRPr="005D00B3">
        <w:rPr>
          <w:rFonts w:ascii="Segoe UI" w:eastAsia="ＭＳ Ｐゴシック" w:hAnsi="Segoe UI" w:cs="Segoe UI"/>
          <w:kern w:val="0"/>
          <w:szCs w:val="21"/>
          <w14:ligatures w14:val="none"/>
        </w:rPr>
        <w:t>能動的な貢献者として高齢者を認識することの重要性を強調した。ステークホルダーたちは、有</w:t>
      </w:r>
      <w:r w:rsidRPr="005D00B3">
        <w:rPr>
          <w:rFonts w:ascii="Segoe UI" w:eastAsia="ＭＳ Ｐゴシック" w:hAnsi="Segoe UI" w:cs="Segoe UI"/>
          <w:kern w:val="0"/>
          <w:szCs w:val="21"/>
          <w14:ligatures w14:val="none"/>
        </w:rPr>
        <w:lastRenderedPageBreak/>
        <w:t>償及び無償の仕事、介護、知識の伝達及び市民としての参加を通じた、経済的、社会的及び地域社会の生活への高齢者の参加の価値を強調した。</w:t>
      </w:r>
    </w:p>
    <w:p w14:paraId="2D145622" w14:textId="77777777" w:rsidR="003463E7" w:rsidRPr="005D00B3"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33</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CSO</w:t>
      </w:r>
      <w:r w:rsidRPr="005D00B3">
        <w:rPr>
          <w:rFonts w:ascii="Segoe UI" w:eastAsia="ＭＳ Ｐゴシック" w:hAnsi="Segoe UI" w:cs="Segoe UI"/>
          <w:kern w:val="0"/>
          <w:szCs w:val="21"/>
          <w14:ligatures w14:val="none"/>
        </w:rPr>
        <w:t>はさらに、加齢は文脈依存的かつ社会的に構築されたプロセスとして理解されるべきであり、硬直した暦年齢の定義を否定すべきことを強調した。いくつかの提出意見は、固定された年齢閾値が年齢差別の実態を捉えることができず、年齢関連の不利益を経験する個人を除外する可能性があることを強調した。そのため、枠組みは、生きた経験と社会的文脈に根ざした、老年期を定義するための柔軟で包摂的なアプローチを採用すべきとされた。</w:t>
      </w:r>
    </w:p>
    <w:p w14:paraId="00391E36" w14:textId="77777777" w:rsidR="003463E7" w:rsidRPr="003463E7"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34</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多くの提出意見はまた、文書を既存の国際的及び地域的規範枠組みの中に位置づける必要性を強調した。これらの枠組みを土台とすることは、整合性の確保、重複の回避及びグローバルレベルでの規範的発展の強化に不可欠とみなされた。</w:t>
      </w:r>
    </w:p>
    <w:p w14:paraId="2A48B883" w14:textId="197C6059" w:rsidR="003463E7" w:rsidRPr="003463E7"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3463E7">
        <w:rPr>
          <w:rFonts w:ascii="Segoe UI" w:eastAsia="ＭＳ Ｐゴシック" w:hAnsi="Segoe UI" w:cs="Segoe UI"/>
          <w:b/>
          <w:bCs/>
          <w:kern w:val="0"/>
          <w:szCs w:val="21"/>
          <w14:ligatures w14:val="none"/>
        </w:rPr>
        <w:t>35</w:t>
      </w:r>
      <w:r w:rsidRPr="003463E7">
        <w:rPr>
          <w:rFonts w:ascii="Segoe UI" w:eastAsia="ＭＳ Ｐゴシック" w:hAnsi="Segoe UI" w:cs="Segoe UI"/>
          <w:b/>
          <w:bCs/>
          <w:kern w:val="0"/>
          <w:szCs w:val="21"/>
          <w14:ligatures w14:val="none"/>
        </w:rPr>
        <w:t>．</w:t>
      </w:r>
      <w:r w:rsidRPr="003463E7">
        <w:rPr>
          <w:rFonts w:ascii="Segoe UI" w:eastAsia="ＭＳ Ｐゴシック" w:hAnsi="Segoe UI" w:cs="Segoe UI"/>
          <w:kern w:val="0"/>
          <w:szCs w:val="21"/>
          <w14:ligatures w14:val="none"/>
        </w:rPr>
        <w:t xml:space="preserve"> </w:t>
      </w:r>
      <w:r w:rsidRPr="003463E7">
        <w:rPr>
          <w:rFonts w:ascii="Segoe UI" w:eastAsia="ＭＳ Ｐゴシック" w:hAnsi="Segoe UI" w:cs="Segoe UI"/>
          <w:kern w:val="0"/>
          <w:szCs w:val="21"/>
          <w14:ligatures w14:val="none"/>
        </w:rPr>
        <w:t>同時に、ステークホルダーたちは、貧困、脆</w:t>
      </w:r>
      <w:r w:rsidRPr="00FD1AEC">
        <w:rPr>
          <w:rFonts w:ascii="Segoe UI" w:eastAsia="ＭＳ Ｐゴシック" w:hAnsi="Segoe UI" w:cs="Segoe UI"/>
          <w:kern w:val="0"/>
          <w:szCs w:val="21"/>
          <w14:ligatures w14:val="none"/>
        </w:rPr>
        <w:t>弱な社会的</w:t>
      </w:r>
      <w:r w:rsidR="003E5C5F" w:rsidRPr="00FD1AEC">
        <w:rPr>
          <w:rFonts w:ascii="Segoe UI" w:eastAsia="ＭＳ Ｐゴシック" w:hAnsi="Segoe UI" w:cs="Segoe UI" w:hint="eastAsia"/>
          <w:kern w:val="0"/>
          <w:szCs w:val="21"/>
          <w14:ligatures w14:val="none"/>
        </w:rPr>
        <w:t>保障</w:t>
      </w:r>
      <w:r w:rsidRPr="00FD1AEC">
        <w:rPr>
          <w:rFonts w:ascii="Segoe UI" w:eastAsia="ＭＳ Ｐゴシック" w:hAnsi="Segoe UI" w:cs="Segoe UI"/>
          <w:kern w:val="0"/>
          <w:szCs w:val="21"/>
          <w14:ligatures w14:val="none"/>
        </w:rPr>
        <w:t>シス</w:t>
      </w:r>
      <w:r w:rsidRPr="003463E7">
        <w:rPr>
          <w:rFonts w:ascii="Segoe UI" w:eastAsia="ＭＳ Ｐゴシック" w:hAnsi="Segoe UI" w:cs="Segoe UI"/>
          <w:kern w:val="0"/>
          <w:szCs w:val="21"/>
          <w14:ligatures w14:val="none"/>
        </w:rPr>
        <w:t>テム、農村の孤立、並びに暴力、虐待及び放置への暴露を含む、持続的な構造的不平等とリスクの状況に対処することの重要性を強調した。特に開発途上の文脈にある高齢者、並びに紛争、国内外への避難及び人道的危機によって影響を受けた高齢者の状況に特別な注意が払われ、これらの状況ではリスクが増大し、サービスへのアクセスがさらに制約される。</w:t>
      </w:r>
    </w:p>
    <w:p w14:paraId="42DB4A97" w14:textId="77777777" w:rsidR="003463E7" w:rsidRPr="003463E7"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3463E7">
        <w:rPr>
          <w:rFonts w:ascii="Segoe UI" w:eastAsia="ＭＳ Ｐゴシック" w:hAnsi="Segoe UI" w:cs="Segoe UI"/>
          <w:b/>
          <w:bCs/>
          <w:kern w:val="0"/>
          <w:szCs w:val="21"/>
          <w14:ligatures w14:val="none"/>
        </w:rPr>
        <w:t>36</w:t>
      </w:r>
      <w:r w:rsidRPr="003463E7">
        <w:rPr>
          <w:rFonts w:ascii="Segoe UI" w:eastAsia="ＭＳ Ｐゴシック" w:hAnsi="Segoe UI" w:cs="Segoe UI"/>
          <w:b/>
          <w:bCs/>
          <w:kern w:val="0"/>
          <w:szCs w:val="21"/>
          <w14:ligatures w14:val="none"/>
        </w:rPr>
        <w:t>．</w:t>
      </w:r>
      <w:r w:rsidRPr="003463E7">
        <w:rPr>
          <w:rFonts w:ascii="Segoe UI" w:eastAsia="ＭＳ Ｐゴシック" w:hAnsi="Segoe UI" w:cs="Segoe UI"/>
          <w:kern w:val="0"/>
          <w:szCs w:val="21"/>
          <w14:ligatures w14:val="none"/>
        </w:rPr>
        <w:t xml:space="preserve"> </w:t>
      </w:r>
      <w:r w:rsidRPr="003463E7">
        <w:rPr>
          <w:rFonts w:ascii="Segoe UI" w:eastAsia="ＭＳ Ｐゴシック" w:hAnsi="Segoe UI" w:cs="Segoe UI"/>
          <w:kern w:val="0"/>
          <w:szCs w:val="21"/>
          <w14:ligatures w14:val="none"/>
        </w:rPr>
        <w:t>提出意見はさらに、デジタル化、人工知能、気候変動及び進化するケアシステムを含む、新たなグローバル課題への対処の必要性を強調した。これらの進展は、適切な規制・政策枠組みを通じて対処されなければ、排除と不平等の新たな形態をもたらすものとして特定され、前向きで適応的な文書の必要性を強調した。</w:t>
      </w:r>
    </w:p>
    <w:p w14:paraId="71C95247" w14:textId="77777777" w:rsidR="003463E7" w:rsidRPr="003463E7"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3463E7">
        <w:rPr>
          <w:rFonts w:ascii="Segoe UI" w:eastAsia="ＭＳ Ｐゴシック" w:hAnsi="Segoe UI" w:cs="Segoe UI"/>
          <w:b/>
          <w:bCs/>
          <w:kern w:val="0"/>
          <w:szCs w:val="21"/>
          <w14:ligatures w14:val="none"/>
        </w:rPr>
        <w:t>37</w:t>
      </w:r>
      <w:r w:rsidRPr="003463E7">
        <w:rPr>
          <w:rFonts w:ascii="Segoe UI" w:eastAsia="ＭＳ Ｐゴシック" w:hAnsi="Segoe UI" w:cs="Segoe UI"/>
          <w:b/>
          <w:bCs/>
          <w:kern w:val="0"/>
          <w:szCs w:val="21"/>
          <w14:ligatures w14:val="none"/>
        </w:rPr>
        <w:t>．</w:t>
      </w:r>
      <w:r w:rsidRPr="003463E7">
        <w:rPr>
          <w:rFonts w:ascii="Segoe UI" w:eastAsia="ＭＳ Ｐゴシック" w:hAnsi="Segoe UI" w:cs="Segoe UI"/>
          <w:kern w:val="0"/>
          <w:szCs w:val="21"/>
          <w14:ligatures w14:val="none"/>
        </w:rPr>
        <w:t xml:space="preserve"> </w:t>
      </w:r>
      <w:r w:rsidRPr="003463E7">
        <w:rPr>
          <w:rFonts w:ascii="Segoe UI" w:eastAsia="ＭＳ Ｐゴシック" w:hAnsi="Segoe UI" w:cs="Segoe UI"/>
          <w:kern w:val="0"/>
          <w:szCs w:val="21"/>
          <w14:ligatures w14:val="none"/>
        </w:rPr>
        <w:t>最終的に</w:t>
      </w:r>
      <w:r w:rsidRPr="003463E7">
        <w:rPr>
          <w:rFonts w:ascii="Segoe UI" w:eastAsia="ＭＳ Ｐゴシック" w:hAnsi="Segoe UI" w:cs="Segoe UI"/>
          <w:kern w:val="0"/>
          <w:szCs w:val="21"/>
          <w14:ligatures w14:val="none"/>
        </w:rPr>
        <w:t>CSO</w:t>
      </w:r>
      <w:r w:rsidRPr="003463E7">
        <w:rPr>
          <w:rFonts w:ascii="Segoe UI" w:eastAsia="ＭＳ Ｐゴシック" w:hAnsi="Segoe UI" w:cs="Segoe UI"/>
          <w:kern w:val="0"/>
          <w:szCs w:val="21"/>
          <w14:ligatures w14:val="none"/>
        </w:rPr>
        <w:t>は、枠組みが高齢者の生きた経験、主体性及び参加に根ざし、文書の起草、交渉、実施及び監視を含む全段階における高齢者の意味のある参加を確保しなければならないことを一貫して強調した。参加は原則としてだけでなく、包括的な協議プロセス、代表団への参加及び監視メカニズムへの関与を含む、正当性、有効性及び説明責任のための構造的要件として位置づけられた。</w:t>
      </w:r>
    </w:p>
    <w:p w14:paraId="53665C50" w14:textId="77777777" w:rsidR="003463E7" w:rsidRPr="003463E7"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3463E7">
        <w:rPr>
          <w:rFonts w:ascii="Segoe UI" w:eastAsia="ＭＳ Ｐゴシック" w:hAnsi="Segoe UI" w:cs="Segoe UI"/>
          <w:b/>
          <w:bCs/>
          <w:kern w:val="0"/>
          <w:szCs w:val="21"/>
          <w14:ligatures w14:val="none"/>
        </w:rPr>
        <w:t>38</w:t>
      </w:r>
      <w:r w:rsidRPr="003463E7">
        <w:rPr>
          <w:rFonts w:ascii="Segoe UI" w:eastAsia="ＭＳ Ｐゴシック" w:hAnsi="Segoe UI" w:cs="Segoe UI"/>
          <w:b/>
          <w:bCs/>
          <w:kern w:val="0"/>
          <w:szCs w:val="21"/>
          <w14:ligatures w14:val="none"/>
        </w:rPr>
        <w:t>．</w:t>
      </w:r>
      <w:r w:rsidRPr="003463E7">
        <w:rPr>
          <w:rFonts w:ascii="Segoe UI" w:eastAsia="ＭＳ Ｐゴシック" w:hAnsi="Segoe UI" w:cs="Segoe UI"/>
          <w:kern w:val="0"/>
          <w:szCs w:val="21"/>
          <w14:ligatures w14:val="none"/>
        </w:rPr>
        <w:t xml:space="preserve"> </w:t>
      </w:r>
      <w:r w:rsidRPr="003463E7">
        <w:rPr>
          <w:rFonts w:ascii="Segoe UI" w:eastAsia="ＭＳ Ｐゴシック" w:hAnsi="Segoe UI" w:cs="Segoe UI"/>
          <w:kern w:val="0"/>
          <w:szCs w:val="21"/>
          <w14:ligatures w14:val="none"/>
        </w:rPr>
        <w:t>専門家・学術界を含む</w:t>
      </w:r>
      <w:r w:rsidRPr="003463E7">
        <w:rPr>
          <w:rFonts w:ascii="Segoe UI" w:eastAsia="ＭＳ Ｐゴシック" w:hAnsi="Segoe UI" w:cs="Segoe UI"/>
          <w:b/>
          <w:bCs/>
          <w:kern w:val="0"/>
          <w:szCs w:val="21"/>
          <w14:ligatures w14:val="none"/>
        </w:rPr>
        <w:t>その他の関連ステークホルダー</w:t>
      </w:r>
      <w:r w:rsidRPr="003463E7">
        <w:rPr>
          <w:rFonts w:ascii="Segoe UI" w:eastAsia="ＭＳ Ｐゴシック" w:hAnsi="Segoe UI" w:cs="Segoe UI"/>
          <w:kern w:val="0"/>
          <w:szCs w:val="21"/>
          <w14:ligatures w14:val="none"/>
        </w:rPr>
        <w:t>からの提出意見は、人権に基づく変革的枠組みの必要性を広く支持した。いくつかの貢献は、加齢が累積的な社会経済的及び文脈的要因によって形成されるという認識に基づくライフコース・アプローチを強調した。いくつかの回答は、老年期を構造的不平等によって形成された社会的構築物と位置づけ、制度的エイジズムへの変革的対応を求めた。</w:t>
      </w:r>
    </w:p>
    <w:p w14:paraId="18F03FE8" w14:textId="77777777" w:rsidR="003463E7" w:rsidRPr="003463E7"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3463E7">
        <w:rPr>
          <w:rFonts w:ascii="Segoe UI" w:eastAsia="ＭＳ Ｐゴシック" w:hAnsi="Segoe UI" w:cs="Segoe UI"/>
          <w:b/>
          <w:bCs/>
          <w:kern w:val="0"/>
          <w:szCs w:val="21"/>
          <w14:ligatures w14:val="none"/>
        </w:rPr>
        <w:lastRenderedPageBreak/>
        <w:t>39</w:t>
      </w:r>
      <w:r w:rsidRPr="003463E7">
        <w:rPr>
          <w:rFonts w:ascii="Segoe UI" w:eastAsia="ＭＳ Ｐゴシック" w:hAnsi="Segoe UI" w:cs="Segoe UI"/>
          <w:b/>
          <w:bCs/>
          <w:kern w:val="0"/>
          <w:szCs w:val="21"/>
          <w14:ligatures w14:val="none"/>
        </w:rPr>
        <w:t>．</w:t>
      </w:r>
      <w:r w:rsidRPr="003463E7">
        <w:rPr>
          <w:rFonts w:ascii="Segoe UI" w:eastAsia="ＭＳ Ｐゴシック" w:hAnsi="Segoe UI" w:cs="Segoe UI"/>
          <w:kern w:val="0"/>
          <w:szCs w:val="21"/>
          <w14:ligatures w14:val="none"/>
        </w:rPr>
        <w:t xml:space="preserve"> </w:t>
      </w:r>
      <w:r w:rsidRPr="003463E7">
        <w:rPr>
          <w:rFonts w:ascii="Segoe UI" w:eastAsia="ＭＳ Ｐゴシック" w:hAnsi="Segoe UI" w:cs="Segoe UI"/>
          <w:kern w:val="0"/>
          <w:szCs w:val="21"/>
          <w14:ligatures w14:val="none"/>
        </w:rPr>
        <w:t>いくつかの提出意見はさらに、老年期における相互依存、継続的支援及び同伴を含む人権の関係的次元を強調した一方、他の提出意見はグローバルに文脈化された視点を考慮する必要性を提起した。</w:t>
      </w:r>
    </w:p>
    <w:p w14:paraId="53D06EC3" w14:textId="40D28194" w:rsidR="003463E7" w:rsidRPr="00FD1AEC" w:rsidRDefault="003463E7" w:rsidP="003463E7">
      <w:pPr>
        <w:widowControl/>
        <w:spacing w:before="100" w:beforeAutospacing="1" w:after="100" w:afterAutospacing="1" w:line="300" w:lineRule="atLeast"/>
        <w:rPr>
          <w:rFonts w:ascii="Segoe UI" w:eastAsia="ＭＳ Ｐゴシック" w:hAnsi="Segoe UI" w:cs="Segoe UI"/>
          <w:kern w:val="0"/>
          <w:szCs w:val="21"/>
          <w14:ligatures w14:val="none"/>
        </w:rPr>
      </w:pPr>
      <w:r w:rsidRPr="003463E7">
        <w:rPr>
          <w:rFonts w:ascii="Segoe UI" w:eastAsia="ＭＳ Ｐゴシック" w:hAnsi="Segoe UI" w:cs="Segoe UI"/>
          <w:b/>
          <w:bCs/>
          <w:kern w:val="0"/>
          <w:szCs w:val="21"/>
          <w14:ligatures w14:val="none"/>
        </w:rPr>
        <w:t>40</w:t>
      </w:r>
      <w:r w:rsidRPr="003463E7">
        <w:rPr>
          <w:rFonts w:ascii="Segoe UI" w:eastAsia="ＭＳ Ｐゴシック" w:hAnsi="Segoe UI" w:cs="Segoe UI"/>
          <w:b/>
          <w:bCs/>
          <w:kern w:val="0"/>
          <w:szCs w:val="21"/>
          <w14:ligatures w14:val="none"/>
        </w:rPr>
        <w:t>．</w:t>
      </w:r>
      <w:r w:rsidRPr="003463E7">
        <w:rPr>
          <w:rFonts w:ascii="Segoe UI" w:eastAsia="ＭＳ Ｐゴシック" w:hAnsi="Segoe UI" w:cs="Segoe UI"/>
          <w:kern w:val="0"/>
          <w:szCs w:val="21"/>
          <w14:ligatures w14:val="none"/>
        </w:rPr>
        <w:t xml:space="preserve"> </w:t>
      </w:r>
      <w:r w:rsidRPr="003463E7">
        <w:rPr>
          <w:rFonts w:ascii="Segoe UI" w:eastAsia="ＭＳ Ｐゴシック" w:hAnsi="Segoe UI" w:cs="Segoe UI"/>
          <w:kern w:val="0"/>
          <w:szCs w:val="21"/>
          <w14:ligatures w14:val="none"/>
        </w:rPr>
        <w:t>いくつかのステークホル</w:t>
      </w:r>
      <w:r w:rsidRPr="00FD1AEC">
        <w:rPr>
          <w:rFonts w:ascii="Segoe UI" w:eastAsia="ＭＳ Ｐゴシック" w:hAnsi="Segoe UI" w:cs="Segoe UI"/>
          <w:kern w:val="0"/>
          <w:szCs w:val="21"/>
          <w14:ligatures w14:val="none"/>
        </w:rPr>
        <w:t>ダーはまた、特に社会的</w:t>
      </w:r>
      <w:r w:rsidR="003E5C5F" w:rsidRPr="00FD1AEC">
        <w:rPr>
          <w:rFonts w:ascii="Segoe UI" w:eastAsia="ＭＳ Ｐゴシック" w:hAnsi="Segoe UI" w:cs="Segoe UI" w:hint="eastAsia"/>
          <w:kern w:val="0"/>
          <w:szCs w:val="21"/>
          <w14:ligatures w14:val="none"/>
        </w:rPr>
        <w:t>保障</w:t>
      </w:r>
      <w:r w:rsidRPr="00FD1AEC">
        <w:rPr>
          <w:rFonts w:ascii="Segoe UI" w:eastAsia="ＭＳ Ｐゴシック" w:hAnsi="Segoe UI" w:cs="Segoe UI"/>
          <w:kern w:val="0"/>
          <w:szCs w:val="21"/>
          <w14:ligatures w14:val="none"/>
        </w:rPr>
        <w:t>及び開発の文脈における構造的・グローバルな不平等を強調した。いくつかは、災害及び紛争などのリスク状況を含む、より強い認識を必要とする特定の領域、並びに監視とデータを通じてエイジズムなどの新たな構造的不平等の推進要因に対処する必要性を強調した。</w:t>
      </w:r>
    </w:p>
    <w:p w14:paraId="237E6465" w14:textId="77777777" w:rsidR="005E4F45" w:rsidRPr="00FD1AEC" w:rsidRDefault="005E4F45" w:rsidP="005E4F45">
      <w:pPr>
        <w:widowControl/>
        <w:spacing w:before="100" w:beforeAutospacing="1" w:after="100" w:afterAutospacing="1" w:line="300" w:lineRule="atLeast"/>
        <w:outlineLvl w:val="2"/>
        <w:rPr>
          <w:rFonts w:ascii="Segoe UI" w:eastAsia="ＭＳ Ｐゴシック" w:hAnsi="Segoe UI" w:cs="Segoe UI"/>
          <w:b/>
          <w:bCs/>
          <w:kern w:val="0"/>
          <w:sz w:val="27"/>
          <w:szCs w:val="27"/>
          <w14:ligatures w14:val="none"/>
        </w:rPr>
      </w:pPr>
      <w:r w:rsidRPr="00FD1AEC">
        <w:rPr>
          <w:rFonts w:ascii="Segoe UI" w:eastAsia="ＭＳ Ｐゴシック" w:hAnsi="Segoe UI" w:cs="Segoe UI"/>
          <w:b/>
          <w:bCs/>
          <w:kern w:val="0"/>
          <w:sz w:val="27"/>
          <w:szCs w:val="27"/>
          <w14:ligatures w14:val="none"/>
        </w:rPr>
        <w:t>II</w:t>
      </w:r>
      <w:r w:rsidRPr="00FD1AEC">
        <w:rPr>
          <w:rFonts w:ascii="Segoe UI" w:eastAsia="ＭＳ Ｐゴシック" w:hAnsi="Segoe UI" w:cs="Segoe UI"/>
          <w:b/>
          <w:bCs/>
          <w:kern w:val="0"/>
          <w:sz w:val="27"/>
          <w:szCs w:val="27"/>
          <w14:ligatures w14:val="none"/>
        </w:rPr>
        <w:t>．中核原則</w:t>
      </w:r>
    </w:p>
    <w:p w14:paraId="42DE3F13" w14:textId="20486F5A" w:rsidR="005E4F45" w:rsidRPr="005E4F45"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FD1AEC">
        <w:rPr>
          <w:rFonts w:ascii="Segoe UI" w:eastAsia="ＭＳ Ｐゴシック" w:hAnsi="Segoe UI" w:cs="Segoe UI"/>
          <w:b/>
          <w:bCs/>
          <w:kern w:val="0"/>
          <w:szCs w:val="21"/>
          <w14:ligatures w14:val="none"/>
        </w:rPr>
        <w:t>41</w:t>
      </w:r>
      <w:r w:rsidRPr="00FD1AEC">
        <w:rPr>
          <w:rFonts w:ascii="Segoe UI" w:eastAsia="ＭＳ Ｐゴシック" w:hAnsi="Segoe UI" w:cs="Segoe UI"/>
          <w:b/>
          <w:bCs/>
          <w:kern w:val="0"/>
          <w:szCs w:val="21"/>
          <w14:ligatures w14:val="none"/>
        </w:rPr>
        <w:t>．</w:t>
      </w:r>
      <w:r w:rsidRPr="00FD1AEC">
        <w:rPr>
          <w:rFonts w:ascii="Segoe UI" w:eastAsia="ＭＳ Ｐゴシック" w:hAnsi="Segoe UI" w:cs="Segoe UI"/>
          <w:kern w:val="0"/>
          <w:szCs w:val="21"/>
          <w14:ligatures w14:val="none"/>
        </w:rPr>
        <w:t xml:space="preserve"> </w:t>
      </w:r>
      <w:r w:rsidRPr="00FD1AEC">
        <w:rPr>
          <w:rFonts w:ascii="Segoe UI" w:eastAsia="ＭＳ Ｐゴシック" w:hAnsi="Segoe UI" w:cs="Segoe UI"/>
          <w:kern w:val="0"/>
          <w:szCs w:val="21"/>
          <w14:ligatures w14:val="none"/>
        </w:rPr>
        <w:t>高齢者の人権を効果的に</w:t>
      </w:r>
      <w:r w:rsidR="003E5C5F" w:rsidRPr="00FD1AEC">
        <w:rPr>
          <w:rFonts w:ascii="Segoe UI" w:eastAsia="ＭＳ Ｐゴシック" w:hAnsi="Segoe UI" w:cs="Segoe UI" w:hint="eastAsia"/>
          <w:kern w:val="0"/>
          <w:szCs w:val="21"/>
          <w14:ligatures w14:val="none"/>
        </w:rPr>
        <w:t>保障</w:t>
      </w:r>
      <w:r w:rsidRPr="00FD1AEC">
        <w:rPr>
          <w:rFonts w:ascii="Segoe UI" w:eastAsia="ＭＳ Ｐゴシック" w:hAnsi="Segoe UI" w:cs="Segoe UI"/>
          <w:kern w:val="0"/>
          <w:szCs w:val="21"/>
          <w14:ligatures w14:val="none"/>
        </w:rPr>
        <w:t>するために、法的拘束力を持つ文書の基盤となるべき中核原則はいかなるものかという問いに対し、多くの</w:t>
      </w:r>
      <w:r w:rsidRPr="00FD1AEC">
        <w:rPr>
          <w:rFonts w:ascii="Segoe UI" w:eastAsia="ＭＳ Ｐゴシック" w:hAnsi="Segoe UI" w:cs="Segoe UI"/>
          <w:b/>
          <w:bCs/>
          <w:kern w:val="0"/>
          <w:szCs w:val="21"/>
          <w14:ligatures w14:val="none"/>
        </w:rPr>
        <w:t>国</w:t>
      </w:r>
      <w:r w:rsidRPr="005E4F45">
        <w:rPr>
          <w:rFonts w:ascii="Segoe UI" w:eastAsia="ＭＳ Ｐゴシック" w:hAnsi="Segoe UI" w:cs="Segoe UI"/>
          <w:b/>
          <w:bCs/>
          <w:kern w:val="0"/>
          <w:szCs w:val="21"/>
          <w14:ligatures w14:val="none"/>
        </w:rPr>
        <w:t>家</w:t>
      </w:r>
      <w:r w:rsidRPr="005E4F45">
        <w:rPr>
          <w:rFonts w:ascii="Segoe UI" w:eastAsia="ＭＳ Ｐゴシック" w:hAnsi="Segoe UI" w:cs="Segoe UI"/>
          <w:kern w:val="0"/>
          <w:szCs w:val="21"/>
          <w14:ligatures w14:val="none"/>
        </w:rPr>
        <w:t>は、文書が解釈、実施及び監視の指針となりうる、簡潔だが堅固な一般原則の組み合わせによって支えられるべきことを指摘した。</w:t>
      </w:r>
    </w:p>
    <w:p w14:paraId="63268136"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42</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人間の尊厳は、老年期における生命の価値を暗黙的に序列化するアプローチに対する保護手段を含め、基盤的なものとして特定された。いくつかの国家は、尊厳は固有のもの、譲渡不可能なものであり、機能的能力、自律性または生産性に依存するものではなく、文書は具体的な権利及び人権を通じて尊厳を機能化すべきことを強調した。</w:t>
      </w:r>
    </w:p>
    <w:p w14:paraId="5737CF21"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43</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年齢を事由とする差別に対する明示的な保護を含む、平等及び非差別は、中心的原則として繰り返し提示された。多くの提出意見は、当該原則が直接的差別及び間接的差別の双方を対象とすべきであり、制度的・組織的形態を含むエイジズムを防止・抑制する義務を伴うべきことを強調した。いくつかの国家からの提出意見は、法的規範が形式的に中立に見える場合でも持続する排除のパターンを検出・是正しうる制度的メカニズムの必要性への言及を含め、構造的障壁に対処することのみならず抽象的な不平等取り扱いの禁止にとどまらない、実質的または変革的平等を強調した。</w:t>
      </w:r>
    </w:p>
    <w:p w14:paraId="13120F04" w14:textId="07975E9B" w:rsidR="005E4F45" w:rsidRPr="005E4F45"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44</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自律及び独立は、意思及び選好の尊重、意思決定及び自己決定を含め、一般的に強調された。提出意見は、高齢者が</w:t>
      </w:r>
      <w:r w:rsidR="003E5C5F" w:rsidRPr="00FD1AEC">
        <w:rPr>
          <w:rFonts w:ascii="Segoe UI" w:eastAsia="ＭＳ Ｐゴシック" w:hAnsi="Segoe UI" w:cs="Segoe UI" w:hint="eastAsia"/>
          <w:kern w:val="0"/>
          <w:szCs w:val="21"/>
          <w14:ligatures w14:val="none"/>
        </w:rPr>
        <w:t>保障</w:t>
      </w:r>
      <w:r w:rsidRPr="005D00B3">
        <w:rPr>
          <w:rFonts w:ascii="Segoe UI" w:eastAsia="ＭＳ Ｐゴシック" w:hAnsi="Segoe UI" w:cs="Segoe UI"/>
          <w:kern w:val="0"/>
          <w:szCs w:val="21"/>
          <w14:ligatures w14:val="none"/>
        </w:rPr>
        <w:t>の受動的受益者として描かれるべきではなく、支援ニーズ</w:t>
      </w:r>
      <w:r w:rsidRPr="005E4F45">
        <w:rPr>
          <w:rFonts w:ascii="Segoe UI" w:eastAsia="ＭＳ Ｐゴシック" w:hAnsi="Segoe UI" w:cs="Segoe UI"/>
          <w:kern w:val="0"/>
          <w:szCs w:val="21"/>
          <w14:ligatures w14:val="none"/>
        </w:rPr>
        <w:t>は意思決定の代替ではなく可能化のための措置によって対処されるべきことを強調した。いくつかの提出意見は、自律性と法的能力の保護手段及び支援付き意思決定を結び付け、障害者権利条約のアプローチから着想を得た。ある提出意見は、決定的自律性と執行的自律性を含む自律性の異なる次元を区別する必要性を強調し、支援が必要な場合であっても、法制度は高齢者が意思決定を行う能力を代替するのではなく支援すべきことを強調した。</w:t>
      </w:r>
    </w:p>
    <w:p w14:paraId="36D6C0C1"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lastRenderedPageBreak/>
        <w:t>45</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参加及び包摂は、原則としてのみならず運用上の要件としても強調された。いくつかの国家からの提出意見は、高齢者が自らに影響を与える法律、政策及び意思決定の発展に、その代表組織を通じることを含め、意味のある形で協議を受け積極的に関与すべきことを強調した。この参加原則はまた、デジタル化が排除をもたらすリスクがある場合のアクセシブルな手続き及び非デジタルの参加チャンネルの必要性とも結び付けられた。ある提出意見はまた、参加がデジタル及び</w:t>
      </w:r>
      <w:r w:rsidRPr="005D00B3">
        <w:rPr>
          <w:rFonts w:ascii="Segoe UI" w:eastAsia="ＭＳ Ｐゴシック" w:hAnsi="Segoe UI" w:cs="Segoe UI"/>
          <w:kern w:val="0"/>
          <w:szCs w:val="21"/>
          <w14:ligatures w14:val="none"/>
        </w:rPr>
        <w:t>AI</w:t>
      </w:r>
      <w:r w:rsidRPr="005D00B3">
        <w:rPr>
          <w:rFonts w:ascii="Segoe UI" w:eastAsia="ＭＳ Ｐゴシック" w:hAnsi="Segoe UI" w:cs="Segoe UI"/>
          <w:kern w:val="0"/>
          <w:szCs w:val="21"/>
          <w14:ligatures w14:val="none"/>
        </w:rPr>
        <w:t>に基づくシステムを含め、ますます意思決定の文脈を形成している情報及び進化する技術環境への効果的なアクセスによって支援されなければならないことを強調した。</w:t>
      </w:r>
    </w:p>
    <w:p w14:paraId="67AD7DB5" w14:textId="06FE2F27" w:rsidR="005E4F45" w:rsidRPr="005E4F45"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46</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アクセシビリティは横断的原則として扱われ、物理的環境を超えて情報、コミュニケーション、サービス及びデジタル技術へのアクセスまで及ぶものとして説明された。いくつかの国家は、</w:t>
      </w:r>
      <w:r w:rsidRPr="005E4F45">
        <w:rPr>
          <w:rFonts w:ascii="Segoe UI" w:eastAsia="ＭＳ Ｐゴシック" w:hAnsi="Segoe UI" w:cs="Segoe UI"/>
          <w:kern w:val="0"/>
          <w:szCs w:val="21"/>
          <w14:ligatures w14:val="none"/>
        </w:rPr>
        <w:t>その提出意見において、政府及びサービス提供者がデジタルプラットフォームをますます使用している状況において、アクセシビリティ・バイ・デザイン</w:t>
      </w:r>
      <w:r w:rsidR="00A42D1E" w:rsidRPr="00FD1AEC">
        <w:rPr>
          <w:rFonts w:ascii="Segoe UI" w:eastAsia="ＭＳ Ｐゴシック" w:hAnsi="Segoe UI" w:cs="Segoe UI" w:hint="eastAsia"/>
          <w:kern w:val="0"/>
          <w:sz w:val="18"/>
          <w:szCs w:val="18"/>
          <w14:ligatures w14:val="none"/>
        </w:rPr>
        <w:t>（</w:t>
      </w:r>
      <w:r w:rsidR="001A0F3C" w:rsidRPr="00FD1AEC">
        <w:rPr>
          <w:rFonts w:ascii="Segoe UI" w:eastAsia="ＭＳ Ｐゴシック" w:hAnsi="Segoe UI" w:cs="Segoe UI" w:hint="eastAsia"/>
          <w:kern w:val="0"/>
          <w:sz w:val="18"/>
          <w:szCs w:val="18"/>
          <w14:ligatures w14:val="none"/>
        </w:rPr>
        <w:t xml:space="preserve">訳注　</w:t>
      </w:r>
      <w:r w:rsidR="00A42D1E" w:rsidRPr="00FD1AEC">
        <w:rPr>
          <w:rFonts w:ascii="Segoe UI" w:eastAsia="ＭＳ Ｐゴシック" w:hAnsi="Segoe UI" w:cs="Segoe UI" w:hint="eastAsia"/>
          <w:kern w:val="0"/>
          <w:sz w:val="18"/>
          <w:szCs w:val="18"/>
          <w14:ligatures w14:val="none"/>
        </w:rPr>
        <w:t>設計段階からのアクセシビリテイの確保）</w:t>
      </w:r>
      <w:r w:rsidRPr="005E4F45">
        <w:rPr>
          <w:rFonts w:ascii="Segoe UI" w:eastAsia="ＭＳ Ｐゴシック" w:hAnsi="Segoe UI" w:cs="Segoe UI"/>
          <w:kern w:val="0"/>
          <w:szCs w:val="21"/>
          <w14:ligatures w14:val="none"/>
        </w:rPr>
        <w:t>と障壁の除去が老年期における人権の享有にとって不可欠であることを強調した。</w:t>
      </w:r>
    </w:p>
    <w:p w14:paraId="05BC818B" w14:textId="2E6B974C"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bookmarkStart w:id="1" w:name="_Hlk238411082"/>
      <w:r w:rsidRPr="005D00B3">
        <w:rPr>
          <w:rFonts w:ascii="Segoe UI" w:eastAsia="ＭＳ Ｐゴシック" w:hAnsi="Segoe UI" w:cs="Segoe UI"/>
          <w:b/>
          <w:bCs/>
          <w:kern w:val="0"/>
          <w:szCs w:val="21"/>
          <w14:ligatures w14:val="none"/>
        </w:rPr>
        <w:t>47</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暴力、虐待、放置及び搾取からの保護は、</w:t>
      </w:r>
      <w:bookmarkEnd w:id="1"/>
      <w:r w:rsidRPr="005D00B3">
        <w:rPr>
          <w:rFonts w:ascii="Segoe UI" w:eastAsia="ＭＳ Ｐゴシック" w:hAnsi="Segoe UI" w:cs="Segoe UI"/>
          <w:kern w:val="0"/>
          <w:szCs w:val="21"/>
          <w14:ligatures w14:val="none"/>
        </w:rPr>
        <w:t>繰り返し現れる原則及び特定のギャップ領域として浮上した。提出意見は、高齢者が身体的、心理的、金銭的、制度的及びデジタルな形態の虐待に、しばしば家庭環境や居住型ケアの場において直面する可能性があり、国家は予</w:t>
      </w:r>
      <w:r w:rsidRPr="00FD1AEC">
        <w:rPr>
          <w:rFonts w:ascii="Segoe UI" w:eastAsia="ＭＳ Ｐゴシック" w:hAnsi="Segoe UI" w:cs="Segoe UI"/>
          <w:kern w:val="0"/>
          <w:szCs w:val="21"/>
          <w14:ligatures w14:val="none"/>
        </w:rPr>
        <w:t>防的、</w:t>
      </w:r>
      <w:r w:rsidR="003E5C5F" w:rsidRPr="00FD1AEC">
        <w:rPr>
          <w:rFonts w:ascii="Segoe UI" w:eastAsia="ＭＳ Ｐゴシック" w:hAnsi="Segoe UI" w:cs="Segoe UI" w:hint="eastAsia"/>
          <w:kern w:val="0"/>
          <w:szCs w:val="21"/>
          <w14:ligatures w14:val="none"/>
        </w:rPr>
        <w:t>保障</w:t>
      </w:r>
      <w:r w:rsidRPr="005D00B3">
        <w:rPr>
          <w:rFonts w:ascii="Segoe UI" w:eastAsia="ＭＳ Ｐゴシック" w:hAnsi="Segoe UI" w:cs="Segoe UI"/>
          <w:kern w:val="0"/>
          <w:szCs w:val="21"/>
          <w14:ligatures w14:val="none"/>
        </w:rPr>
        <w:t>的及び是正的措置を採用するよう求められるべきことを強調した。いくつかの提出意見は、訓練された専門サービス及び効果的な紹介システムの必要性を含め、アクセス可能かつ専門化された報告及び救済メカニズムを強調した。</w:t>
      </w:r>
    </w:p>
    <w:p w14:paraId="2BC25D7B" w14:textId="24F9F352" w:rsidR="005E4F45" w:rsidRPr="005E4F45"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48</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いくつかの国家からの提出意見は、世代間連帯、ケア及び共同責任を指針となる原則とし</w:t>
      </w:r>
      <w:r w:rsidRPr="005E4F45">
        <w:rPr>
          <w:rFonts w:ascii="Segoe UI" w:eastAsia="ＭＳ Ｐゴシック" w:hAnsi="Segoe UI" w:cs="Segoe UI"/>
          <w:kern w:val="0"/>
          <w:szCs w:val="21"/>
          <w14:ligatures w14:val="none"/>
        </w:rPr>
        <w:t>て強調したが、これらの概念へのアプローチは異なっていた。連帯を人権を可能にするものとして、社会的包摂及び高齢者の貢献の認識を支援するものとして説明した意見もあれば、家族と地域社会の役割は認識されるべきであるが国家の責任に取って代わってはならないと強調した意見もある。いくつかの提出意見は、連帯に関する表現が、強制可能な義務を希薄化させたり権利主体間の序列を生み出したりしないよう注意深く起草されるべきことを強調した。ある提出意見はさらに、権利に基づく保証と並んで、高齢</w:t>
      </w:r>
      <w:r w:rsidRPr="00FD1AEC">
        <w:rPr>
          <w:rFonts w:ascii="Segoe UI" w:eastAsia="ＭＳ Ｐゴシック" w:hAnsi="Segoe UI" w:cs="Segoe UI"/>
          <w:kern w:val="0"/>
          <w:szCs w:val="21"/>
          <w14:ligatures w14:val="none"/>
        </w:rPr>
        <w:t>者の</w:t>
      </w:r>
      <w:bookmarkStart w:id="2" w:name="_Hlk238411386"/>
      <w:r w:rsidR="00C821E3" w:rsidRPr="00FD1AEC">
        <w:rPr>
          <w:rFonts w:ascii="Segoe UI" w:eastAsia="ＭＳ Ｐゴシック" w:hAnsi="Segoe UI" w:cs="Segoe UI" w:hint="eastAsia"/>
          <w:kern w:val="0"/>
          <w:szCs w:val="21"/>
          <w14:ligatures w14:val="none"/>
        </w:rPr>
        <w:t>保障</w:t>
      </w:r>
      <w:bookmarkEnd w:id="2"/>
      <w:r w:rsidRPr="00FD1AEC">
        <w:rPr>
          <w:rFonts w:ascii="Segoe UI" w:eastAsia="ＭＳ Ｐゴシック" w:hAnsi="Segoe UI" w:cs="Segoe UI"/>
          <w:kern w:val="0"/>
          <w:szCs w:val="21"/>
          <w14:ligatures w14:val="none"/>
        </w:rPr>
        <w:t>に</w:t>
      </w:r>
      <w:r w:rsidRPr="005E4F45">
        <w:rPr>
          <w:rFonts w:ascii="Segoe UI" w:eastAsia="ＭＳ Ｐゴシック" w:hAnsi="Segoe UI" w:cs="Segoe UI"/>
          <w:kern w:val="0"/>
          <w:szCs w:val="21"/>
          <w14:ligatures w14:val="none"/>
        </w:rPr>
        <w:t>おける人間の義務及び共同責任に関する新たな省察を強調した。</w:t>
      </w:r>
    </w:p>
    <w:p w14:paraId="5A89030F" w14:textId="77777777" w:rsidR="005E4F45" w:rsidRPr="005E4F45"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E4F45">
        <w:rPr>
          <w:rFonts w:ascii="Segoe UI" w:eastAsia="ＭＳ Ｐゴシック" w:hAnsi="Segoe UI" w:cs="Segoe UI"/>
          <w:b/>
          <w:bCs/>
          <w:kern w:val="0"/>
          <w:szCs w:val="21"/>
          <w14:ligatures w14:val="none"/>
        </w:rPr>
        <w:t>49</w:t>
      </w:r>
      <w:r w:rsidRPr="005E4F45">
        <w:rPr>
          <w:rFonts w:ascii="Segoe UI" w:eastAsia="ＭＳ Ｐゴシック" w:hAnsi="Segoe UI" w:cs="Segoe UI"/>
          <w:b/>
          <w:bCs/>
          <w:kern w:val="0"/>
          <w:szCs w:val="21"/>
          <w14:ligatures w14:val="none"/>
        </w:rPr>
        <w:t>．</w:t>
      </w:r>
      <w:r w:rsidRPr="005E4F45">
        <w:rPr>
          <w:rFonts w:ascii="Segoe UI" w:eastAsia="ＭＳ Ｐゴシック" w:hAnsi="Segoe UI" w:cs="Segoe UI"/>
          <w:kern w:val="0"/>
          <w:szCs w:val="21"/>
          <w14:ligatures w14:val="none"/>
        </w:rPr>
        <w:t xml:space="preserve"> </w:t>
      </w:r>
      <w:r w:rsidRPr="005E4F45">
        <w:rPr>
          <w:rFonts w:ascii="Segoe UI" w:eastAsia="ＭＳ Ｐゴシック" w:hAnsi="Segoe UI" w:cs="Segoe UI"/>
          <w:kern w:val="0"/>
          <w:szCs w:val="21"/>
          <w14:ligatures w14:val="none"/>
        </w:rPr>
        <w:t>既存の人権の再確認に関し、多くの提出意見は、文書がすべての市民的、政治的、経済</w:t>
      </w:r>
      <w:r w:rsidRPr="005D00B3">
        <w:rPr>
          <w:rFonts w:ascii="Segoe UI" w:eastAsia="ＭＳ Ｐゴシック" w:hAnsi="Segoe UI" w:cs="Segoe UI"/>
          <w:kern w:val="0"/>
          <w:szCs w:val="21"/>
          <w14:ligatures w14:val="none"/>
        </w:rPr>
        <w:t>的、社会的及び文化的権利が高齢者に平等に適用されることを明示的に確認し、「特別な権利」を創設するのではなく老年期における適用を明確化・強化すべきことを強調した。いくつかの提出</w:t>
      </w:r>
      <w:r w:rsidRPr="005E4F45">
        <w:rPr>
          <w:rFonts w:ascii="Segoe UI" w:eastAsia="ＭＳ Ｐゴシック" w:hAnsi="Segoe UI" w:cs="Segoe UI"/>
          <w:kern w:val="0"/>
          <w:szCs w:val="21"/>
          <w14:ligatures w14:val="none"/>
        </w:rPr>
        <w:t>意見は、文書がいかなる既存の規範も弱体化させないよう強調した。ある提出意見は、高齢者の権利がすでに人権アキに存在する場合、権利の内容及び解釈に関する矛盾と混乱を避けるために既存の権利の正確な文言を新たな文書に再現すべきことを明示的に強調した。別の提出意見</w:t>
      </w:r>
      <w:r w:rsidRPr="005E4F45">
        <w:rPr>
          <w:rFonts w:ascii="Segoe UI" w:eastAsia="ＭＳ Ｐゴシック" w:hAnsi="Segoe UI" w:cs="Segoe UI"/>
          <w:kern w:val="0"/>
          <w:szCs w:val="21"/>
          <w14:ligatures w14:val="none"/>
        </w:rPr>
        <w:lastRenderedPageBreak/>
        <w:t>は、既存の権利の不必要な反復を戒め、権利の完全なカタログを付加的な規範的明確性なく再現するのではなく、高齢者に特有のギャップと障壁に焦点を当てることの重要性を強調した。</w:t>
      </w:r>
    </w:p>
    <w:p w14:paraId="55474C4F"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E4F45">
        <w:rPr>
          <w:rFonts w:ascii="Segoe UI" w:eastAsia="ＭＳ Ｐゴシック" w:hAnsi="Segoe UI" w:cs="Segoe UI"/>
          <w:b/>
          <w:bCs/>
          <w:kern w:val="0"/>
          <w:szCs w:val="21"/>
          <w14:ligatures w14:val="none"/>
        </w:rPr>
        <w:t>50</w:t>
      </w:r>
      <w:r w:rsidRPr="005E4F45">
        <w:rPr>
          <w:rFonts w:ascii="Segoe UI" w:eastAsia="ＭＳ Ｐゴシック" w:hAnsi="Segoe UI" w:cs="Segoe UI"/>
          <w:b/>
          <w:bCs/>
          <w:kern w:val="0"/>
          <w:szCs w:val="21"/>
          <w14:ligatures w14:val="none"/>
        </w:rPr>
        <w:t>．</w:t>
      </w:r>
      <w:r w:rsidRPr="005E4F45">
        <w:rPr>
          <w:rFonts w:ascii="Segoe UI" w:eastAsia="ＭＳ Ｐゴシック" w:hAnsi="Segoe UI" w:cs="Segoe UI"/>
          <w:kern w:val="0"/>
          <w:szCs w:val="21"/>
          <w14:ligatures w14:val="none"/>
        </w:rPr>
        <w:t xml:space="preserve"> </w:t>
      </w:r>
      <w:r w:rsidRPr="005E4F45">
        <w:rPr>
          <w:rFonts w:ascii="Segoe UI" w:eastAsia="ＭＳ Ｐゴシック" w:hAnsi="Segoe UI" w:cs="Segoe UI"/>
          <w:kern w:val="0"/>
          <w:szCs w:val="21"/>
          <w14:ligatures w14:val="none"/>
        </w:rPr>
        <w:t>同時に、国家からの提出意見は、既存の基準が過度に一般的、断片的、または十分に可視</w:t>
      </w:r>
      <w:r w:rsidRPr="005D00B3">
        <w:rPr>
          <w:rFonts w:ascii="Segoe UI" w:eastAsia="ＭＳ Ｐゴシック" w:hAnsi="Segoe UI" w:cs="Segoe UI"/>
          <w:kern w:val="0"/>
          <w:szCs w:val="21"/>
          <w14:ligatures w14:val="none"/>
        </w:rPr>
        <w:t>化されていないために、さらなる規範的発展が求められる分野を広く特定した。長期ケアは、質、負担可能性、利用可能性、インフォームドコンセント、説明責任及び</w:t>
      </w:r>
      <w:bookmarkStart w:id="3" w:name="_Hlk238411339"/>
      <w:r w:rsidRPr="005D00B3">
        <w:rPr>
          <w:rFonts w:ascii="Segoe UI" w:eastAsia="ＭＳ Ｐゴシック" w:hAnsi="Segoe UI" w:cs="Segoe UI"/>
          <w:kern w:val="0"/>
          <w:szCs w:val="21"/>
          <w14:ligatures w14:val="none"/>
        </w:rPr>
        <w:t>制度的虐待からの保護</w:t>
      </w:r>
      <w:bookmarkEnd w:id="3"/>
      <w:r w:rsidRPr="005D00B3">
        <w:rPr>
          <w:rFonts w:ascii="Segoe UI" w:eastAsia="ＭＳ Ｐゴシック" w:hAnsi="Segoe UI" w:cs="Segoe UI"/>
          <w:kern w:val="0"/>
          <w:szCs w:val="21"/>
          <w14:ligatures w14:val="none"/>
        </w:rPr>
        <w:t>に関する基準を含め、中心的なギャップとして繰り返し挙げられた。いくつかの提出意見は、人権に基づく長期ケアの枠組みと、選好及び自律性と整合する場合にコミュニティ基盤型・居宅型ケアモデルを優先することを求めた。</w:t>
      </w:r>
    </w:p>
    <w:p w14:paraId="2B476830" w14:textId="77777777" w:rsidR="005E4F45" w:rsidRPr="005E4F45"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51</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健康関連の権利は、年齢に対応した医療サービス、老年医学的ケア、リハビリテーション及</w:t>
      </w:r>
      <w:r w:rsidRPr="005E4F45">
        <w:rPr>
          <w:rFonts w:ascii="Segoe UI" w:eastAsia="ＭＳ Ｐゴシック" w:hAnsi="Segoe UI" w:cs="Segoe UI"/>
          <w:kern w:val="0"/>
          <w:szCs w:val="21"/>
          <w14:ligatures w14:val="none"/>
        </w:rPr>
        <w:t>び緩和ケアへのアクセスを含め、老年期においてより大きな規範的特異性を必要とするものとして頻繁に強調された。いくつかの提出意見は、文書が医療サービスへのアクセスにおける差別に対処し、人中心のケアを確保し、緩和ケア及び終末期の尊厳に関する義務を明確化すべきことを強調した。いくつかの提出意見は、最終段階の生命を低く評価する実践を避ける必要性を強調し、尊厳あるケアの一部として、道徳的または精神的次元を含む同伴と支援を強調した。</w:t>
      </w:r>
    </w:p>
    <w:p w14:paraId="6D74CC15" w14:textId="2DF8EDF4"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52</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経済的保障</w:t>
      </w:r>
      <w:r w:rsidRPr="00FD1AEC">
        <w:rPr>
          <w:rFonts w:ascii="Segoe UI" w:eastAsia="ＭＳ Ｐゴシック" w:hAnsi="Segoe UI" w:cs="Segoe UI"/>
          <w:kern w:val="0"/>
          <w:szCs w:val="21"/>
          <w14:ligatures w14:val="none"/>
        </w:rPr>
        <w:t>と社会的</w:t>
      </w:r>
      <w:r w:rsidR="00C821E3" w:rsidRPr="00FD1AEC">
        <w:rPr>
          <w:rFonts w:ascii="Segoe UI" w:eastAsia="ＭＳ Ｐゴシック" w:hAnsi="Segoe UI" w:cs="Segoe UI" w:hint="eastAsia"/>
          <w:kern w:val="0"/>
          <w:szCs w:val="21"/>
          <w14:ligatures w14:val="none"/>
        </w:rPr>
        <w:t>保障</w:t>
      </w:r>
      <w:r w:rsidRPr="00FD1AEC">
        <w:rPr>
          <w:rFonts w:ascii="Segoe UI" w:eastAsia="ＭＳ Ｐゴシック" w:hAnsi="Segoe UI" w:cs="Segoe UI"/>
          <w:kern w:val="0"/>
          <w:szCs w:val="21"/>
          <w14:ligatures w14:val="none"/>
        </w:rPr>
        <w:t>もまた、老年期における貧困を防止するための社会的</w:t>
      </w:r>
      <w:bookmarkStart w:id="4" w:name="_Hlk238415416"/>
      <w:r w:rsidR="00C821E3" w:rsidRPr="00FD1AEC">
        <w:rPr>
          <w:rFonts w:ascii="Segoe UI" w:eastAsia="ＭＳ Ｐゴシック" w:hAnsi="Segoe UI" w:cs="Segoe UI" w:hint="eastAsia"/>
          <w:kern w:val="0"/>
          <w:szCs w:val="21"/>
          <w14:ligatures w14:val="none"/>
        </w:rPr>
        <w:t>保障</w:t>
      </w:r>
      <w:bookmarkEnd w:id="4"/>
      <w:r w:rsidRPr="00FD1AEC">
        <w:rPr>
          <w:rFonts w:ascii="Segoe UI" w:eastAsia="ＭＳ Ｐゴシック" w:hAnsi="Segoe UI" w:cs="Segoe UI"/>
          <w:kern w:val="0"/>
          <w:szCs w:val="21"/>
          <w14:ligatures w14:val="none"/>
        </w:rPr>
        <w:t>措置</w:t>
      </w:r>
      <w:r w:rsidRPr="005D00B3">
        <w:rPr>
          <w:rFonts w:ascii="Segoe UI" w:eastAsia="ＭＳ Ｐゴシック" w:hAnsi="Segoe UI" w:cs="Segoe UI"/>
          <w:kern w:val="0"/>
          <w:szCs w:val="21"/>
          <w14:ligatures w14:val="none"/>
        </w:rPr>
        <w:t>の十分性及びアクセシビリティを含め、強化された規範的明確性を必要とする分野として提起された。国家からの提出意見は、所得保障、年金及び社会扶助を高齢者による人権享有のための不可欠な可能条件として言及しつつ、実施が各国の文脈と能力を考慮しなければならないことを指摘した。</w:t>
      </w:r>
    </w:p>
    <w:p w14:paraId="34C628E2" w14:textId="77777777" w:rsidR="005E4F45" w:rsidRPr="005E4F45"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53</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労働及び経済的生活への参加はさまざまな方法で扱われた。いくつかの国家からの提出意見は、雇用における年齢差別の禁止及び、再訓練・スキルアップを含む、希望する場合の労働市場と生涯学習への継続的な参加の機会を確保する必要性を強調した一方、尊厳は経済的生産性に依存させるべきではなく、労働は任意であり強制から自由であるべきことを戒めた意見もある。ある提出意見は、強制的定年を年齢差別と明示的に結び付け、労働権と相容れないものとしてその廃止を主張した。</w:t>
      </w:r>
    </w:p>
    <w:p w14:paraId="311B2544" w14:textId="77777777" w:rsidR="005E4F45" w:rsidRPr="005E4F45"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E4F45">
        <w:rPr>
          <w:rFonts w:ascii="Segoe UI" w:eastAsia="ＭＳ Ｐゴシック" w:hAnsi="Segoe UI" w:cs="Segoe UI"/>
          <w:b/>
          <w:bCs/>
          <w:kern w:val="0"/>
          <w:szCs w:val="21"/>
          <w14:ligatures w14:val="none"/>
        </w:rPr>
        <w:t>54</w:t>
      </w:r>
      <w:r w:rsidRPr="005E4F45">
        <w:rPr>
          <w:rFonts w:ascii="Segoe UI" w:eastAsia="ＭＳ Ｐゴシック" w:hAnsi="Segoe UI" w:cs="Segoe UI"/>
          <w:b/>
          <w:bCs/>
          <w:kern w:val="0"/>
          <w:szCs w:val="21"/>
          <w14:ligatures w14:val="none"/>
        </w:rPr>
        <w:t>．</w:t>
      </w:r>
      <w:r w:rsidRPr="005E4F45">
        <w:rPr>
          <w:rFonts w:ascii="Segoe UI" w:eastAsia="ＭＳ Ｐゴシック" w:hAnsi="Segoe UI" w:cs="Segoe UI"/>
          <w:kern w:val="0"/>
          <w:szCs w:val="21"/>
          <w14:ligatures w14:val="none"/>
        </w:rPr>
        <w:t xml:space="preserve"> </w:t>
      </w:r>
      <w:r w:rsidRPr="005E4F45">
        <w:rPr>
          <w:rFonts w:ascii="Segoe UI" w:eastAsia="ＭＳ Ｐゴシック" w:hAnsi="Segoe UI" w:cs="Segoe UI"/>
          <w:kern w:val="0"/>
          <w:szCs w:val="21"/>
          <w14:ligatures w14:val="none"/>
        </w:rPr>
        <w:t>デジタルインクルージョンと技術の役割は、規範的なギャップ領域として強調された。いくつかの国家からの提出意見は、デジタルリテラシー、情報へのアクセス、及びデジタル・アルゴリズム差別に対する保護手段を人権を可能にする条件として扱うべきであり、国家が排除を防ぐために非デジタルチャンネルを通じても不可欠なサービスがアクセス可能であることを確保すべきことを主張した。オンライン詐欺及び金融搾取からの保護もまた、特に高齢者に関して注意を要する新たなリスクとして提起された。</w:t>
      </w:r>
    </w:p>
    <w:p w14:paraId="79718042"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lastRenderedPageBreak/>
        <w:t>55</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司法へのアクセスは、より明確な基準と実際の保証を必要とする領域として繰り返し強調された。提出意見は、費用、距離、複雑さ及びデジタル化を含む障壁を強調し、年齢に配慮した手続的配慮、法的援助、アウトリーチ、及び後見、相続、財産及びケアの決定に関する文脈を含む効果的な申立メカニズムを求めた。いくつかの提出意見はまた、司法へのアクセスを、権利及び利用可能な救済手段に関するアクセシブルな情報の普及の必要性と結び付けた。</w:t>
      </w:r>
    </w:p>
    <w:p w14:paraId="12526D06"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56</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最終的に、いくつかの提出意見は、リスク状況及び緊急事態に対処する規範の必要性を強調した。これらには、人道的危機、災害、パンデミック及び気候変動の影響が含まれ、高齢者はしばしば不均衡に影響を受け、準備、対応及び復興措置に十分に含まれていないことが指摘された。提出意見は、緊急事態の文脈における非差別の確保と、計画立案及び意思決定における高齢者の包摂の重要性を強調した。</w:t>
      </w:r>
    </w:p>
    <w:p w14:paraId="7F2D3B32" w14:textId="1AF5DEC5"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57</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b/>
          <w:bCs/>
          <w:kern w:val="0"/>
          <w:szCs w:val="21"/>
          <w14:ligatures w14:val="none"/>
        </w:rPr>
        <w:t>高齢者の人権享有に関する独立専門家</w:t>
      </w:r>
      <w:r w:rsidRPr="005D00B3">
        <w:rPr>
          <w:rFonts w:ascii="Segoe UI" w:eastAsia="ＭＳ Ｐゴシック" w:hAnsi="Segoe UI" w:cs="Segoe UI"/>
          <w:kern w:val="0"/>
          <w:szCs w:val="21"/>
          <w14:ligatures w14:val="none"/>
        </w:rPr>
        <w:t>は、法的拘束力のある文書が、尊厳、平等及び非差別、自律及び独立、並びに参加及び包摂を含む主要原則に根ざすべきことを強調した。提出意見は、高齢者の多様性を認識し、交差的な差別形態に対処しながら、高齢者がライフコース全体にわたって権利主体として認識されることを確保することの重要性を強調した。</w:t>
      </w:r>
    </w:p>
    <w:p w14:paraId="0544D9F7" w14:textId="14196924"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58</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各提出意見全体にわたり、</w:t>
      </w:r>
      <w:r w:rsidRPr="005D00B3">
        <w:rPr>
          <w:rFonts w:ascii="Segoe UI" w:eastAsia="ＭＳ Ｐゴシック" w:hAnsi="Segoe UI" w:cs="Segoe UI"/>
          <w:b/>
          <w:bCs/>
          <w:kern w:val="0"/>
          <w:szCs w:val="21"/>
          <w14:ligatures w14:val="none"/>
        </w:rPr>
        <w:t>国内人権機関</w:t>
      </w:r>
      <w:r w:rsidRPr="005D00B3">
        <w:rPr>
          <w:rFonts w:ascii="Segoe UI" w:eastAsia="ＭＳ Ｐゴシック" w:hAnsi="Segoe UI" w:cs="Segoe UI"/>
          <w:kern w:val="0"/>
          <w:szCs w:val="21"/>
          <w14:ligatures w14:val="none"/>
        </w:rPr>
        <w:t>は将来の文書の基盤となるべき中核原則の一貫したセットを特定し、尊厳、平等及び非差別、自律及び独立、並びに参加及び包摂、さらに年齢を差別禁止事由として明示的に認識し、エイジズムを人権享有への組織的障壁として対処する必要性を含めた。</w:t>
      </w:r>
    </w:p>
    <w:p w14:paraId="3D6A8251"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59</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NHRI</w:t>
      </w:r>
      <w:r w:rsidRPr="005D00B3">
        <w:rPr>
          <w:rFonts w:ascii="Segoe UI" w:eastAsia="ＭＳ Ｐゴシック" w:hAnsi="Segoe UI" w:cs="Segoe UI"/>
          <w:kern w:val="0"/>
          <w:szCs w:val="21"/>
          <w14:ligatures w14:val="none"/>
        </w:rPr>
        <w:t>からの回答はさらに、実質的平等、アクセシビリティ及び高齢者間の多様性の認識に関する原則、ライフコース全体にわたる交差的・累積的差別に対処する必要性を強調した。また、高齢者の主体性と貢献を確保し、ケアと保護の受動的受益者としてではなく、自らの権利に影響を与える社会及び意思決定プロセスへの能動的参加者としての役割を強化することの重要性も強調した。</w:t>
      </w:r>
    </w:p>
    <w:p w14:paraId="3A162FFF"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60</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b/>
          <w:bCs/>
          <w:kern w:val="0"/>
          <w:szCs w:val="21"/>
          <w14:ligatures w14:val="none"/>
        </w:rPr>
        <w:t>国際機関</w:t>
      </w:r>
      <w:r w:rsidRPr="005D00B3">
        <w:rPr>
          <w:rFonts w:ascii="Segoe UI" w:eastAsia="ＭＳ Ｐゴシック" w:hAnsi="Segoe UI" w:cs="Segoe UI"/>
          <w:kern w:val="0"/>
          <w:szCs w:val="21"/>
          <w14:ligatures w14:val="none"/>
        </w:rPr>
        <w:t>は、国連高齢者原則などの既存の国際基準を明示的に参照しながら、尊厳、自律性、参加、ケア、平等及び非差別を含む確立された人権原則を再確認した。ある回答は、健康、自律性、参加及び経済的保障は相互に強化し合うものであり、孤立してではなく共に実現されなければならないという理解を含め、権利の相互依存性に重点を置いた。</w:t>
      </w:r>
    </w:p>
    <w:p w14:paraId="003C29EC"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61</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各貢献にわたる中心的テーマは、高齢女性に影響を与える複合的差別の明示的認識と、すべての規定にわたるジェンダー平等の統合の要件を含め、交差的かつジェンダーに配慮したアプローチを確保する必要性であった。</w:t>
      </w:r>
    </w:p>
    <w:p w14:paraId="1F2105DF"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lastRenderedPageBreak/>
        <w:t>62</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いくつかの回答は、参加及び包摂を横断的原則として強調し、高齢者の生活と環境に影響を与える意思決定プロセスへの意味のある参加を確保する義務を含めた。</w:t>
      </w:r>
    </w:p>
    <w:p w14:paraId="50EB0C43"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63</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他の提出意見は、安全で包摂的かつアクセシブルな物理的・社会的インフラへのアクセスが人権の効果的な享有のための条件であるという認識を含め、適切な住宅、アクセシビリティ及び可能にする環境に関する原則を強調した。</w:t>
      </w:r>
    </w:p>
    <w:p w14:paraId="64423CCE"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64</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追加的な強調は、特に高齢女性に関する年齢及び性別で分類されたデータの欠如を含む規範的・データのギャップに対処し、政策及び監視の枠組みにおける高齢者の持続的な不可視性に対処するための拘束的な国家義務としてこれを確立する必要性に置かれた。</w:t>
      </w:r>
    </w:p>
    <w:p w14:paraId="5C239C33"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65</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各提出意見全体にわたり、</w:t>
      </w:r>
      <w:r w:rsidRPr="005D00B3">
        <w:rPr>
          <w:rFonts w:ascii="Segoe UI" w:eastAsia="ＭＳ Ｐゴシック" w:hAnsi="Segoe UI" w:cs="Segoe UI"/>
          <w:b/>
          <w:bCs/>
          <w:kern w:val="0"/>
          <w:szCs w:val="21"/>
          <w14:ligatures w14:val="none"/>
        </w:rPr>
        <w:t>市民社会組織</w:t>
      </w:r>
      <w:r w:rsidRPr="005D00B3">
        <w:rPr>
          <w:rFonts w:ascii="Segoe UI" w:eastAsia="ＭＳ Ｐゴシック" w:hAnsi="Segoe UI" w:cs="Segoe UI"/>
          <w:kern w:val="0"/>
          <w:szCs w:val="21"/>
          <w14:ligatures w14:val="none"/>
        </w:rPr>
        <w:t>は、文書の規範的基盤として、及び加齢に対するパターナリスティック、</w:t>
      </w:r>
      <w:bookmarkStart w:id="5" w:name="_Hlk238415369"/>
      <w:r w:rsidRPr="005D00B3">
        <w:rPr>
          <w:rFonts w:ascii="Segoe UI" w:eastAsia="ＭＳ Ｐゴシック" w:hAnsi="Segoe UI" w:cs="Segoe UI"/>
          <w:kern w:val="0"/>
          <w:szCs w:val="21"/>
          <w14:ligatures w14:val="none"/>
        </w:rPr>
        <w:t>医療化された、保護に基づくアプローチ</w:t>
      </w:r>
      <w:bookmarkEnd w:id="5"/>
      <w:r w:rsidRPr="005D00B3">
        <w:rPr>
          <w:rFonts w:ascii="Segoe UI" w:eastAsia="ＭＳ Ｐゴシック" w:hAnsi="Segoe UI" w:cs="Segoe UI"/>
          <w:kern w:val="0"/>
          <w:szCs w:val="21"/>
          <w14:ligatures w14:val="none"/>
        </w:rPr>
        <w:t>への保護手段として一貫して組み立てられた、包括的かつ相互関連する中核的指針原則の組み合わせを特定した。これらの原則は、解釈、実施及び説明責任を指針とする運用上の法的基準であった。</w:t>
      </w:r>
    </w:p>
    <w:p w14:paraId="5D2C49E9" w14:textId="10A6C48C"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66</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中心的かつ横断的な原則は、制度的及び組織的な発現を含む、エイジズムの撲滅及び年齢差別の禁止であった。提出意見は、年齢差別はしばしば政策、資格基準、サービス設計及び社会規範を通じて暗黙的に機能し、デジタルシステム及び技術環境にますます組み込まれていることを強調した。したがって国家は差別を禁止し、医療、雇用、社会</w:t>
      </w:r>
      <w:r w:rsidRPr="00FD1AEC">
        <w:rPr>
          <w:rFonts w:ascii="Segoe UI" w:eastAsia="ＭＳ Ｐゴシック" w:hAnsi="Segoe UI" w:cs="Segoe UI"/>
          <w:kern w:val="0"/>
          <w:szCs w:val="21"/>
          <w14:ligatures w14:val="none"/>
        </w:rPr>
        <w:t>的</w:t>
      </w:r>
      <w:r w:rsidR="00D848EA" w:rsidRPr="00FD1AEC">
        <w:rPr>
          <w:rFonts w:ascii="Segoe UI" w:eastAsia="ＭＳ Ｐゴシック" w:hAnsi="Segoe UI" w:cs="Segoe UI" w:hint="eastAsia"/>
          <w:kern w:val="0"/>
          <w:szCs w:val="21"/>
          <w14:ligatures w14:val="none"/>
        </w:rPr>
        <w:t>保障</w:t>
      </w:r>
      <w:r w:rsidRPr="005D00B3">
        <w:rPr>
          <w:rFonts w:ascii="Segoe UI" w:eastAsia="ＭＳ Ｐゴシック" w:hAnsi="Segoe UI" w:cs="Segoe UI"/>
          <w:kern w:val="0"/>
          <w:szCs w:val="21"/>
          <w14:ligatures w14:val="none"/>
        </w:rPr>
        <w:t>、サービス及び司法へのアクセスに影響を与えるものを含め、エイジズム的な構造と実践を積極的に特定し、防止し、解体することが求められるべきとした。</w:t>
      </w:r>
    </w:p>
    <w:p w14:paraId="071C5361"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67</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これに関連して、いくつかの回答は、形式的平等を超えて構造的不利益、累積的不平等及び不平等な結果に対処するための積極的措置を要求する、実質的かつ変革的平等の原則を強調した。提出意見は、高齢者の平等を確保するためには、特に周縁化されたグループ及び貧困や排除の文脈において、積極的行動、合理的配慮及び組織的改革がしばしば必要とされることを強調した。</w:t>
      </w:r>
    </w:p>
    <w:p w14:paraId="64B75AA5"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68</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尊厳の原則は一貫して中心的なものとして特定され、身体的完全性、心理的ウェルビーイング、プライバシー、アイデンティティ及び自己表現を含む広範かつ多次元的な人間の尊厳の理解を包含した。いくつかの提出意見は、尊厳が親密性、性及び個人的関係の認識も含み、これらは既存の枠組みにおいて、特にそのような次元がしばしば制限または無視される制度的ケアの文脈において十分に対処されていないことを強調した。</w:t>
      </w:r>
    </w:p>
    <w:p w14:paraId="691D64CC" w14:textId="00DA2C7B"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69</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自律、独立及び法的能力の原則は、各提出意見全体にわたり強く強調され、高齢者が年齢、障害またはケアのニーズにかかわらず、他の者と平等な基礎に立って自らの生活に関する意思決定を行う権利を保持するという認識を含めた。市民社会は、支援メカニズムが代替的意思決</w:t>
      </w:r>
      <w:r w:rsidRPr="005D00B3">
        <w:rPr>
          <w:rFonts w:ascii="Segoe UI" w:eastAsia="ＭＳ Ｐゴシック" w:hAnsi="Segoe UI" w:cs="Segoe UI"/>
          <w:kern w:val="0"/>
          <w:szCs w:val="21"/>
          <w14:ligatures w14:val="none"/>
        </w:rPr>
        <w:lastRenderedPageBreak/>
        <w:t>定をもたらすことなく個人の意思及び選好を尊重することを確保するための、支援付き意思決定の枠組み、事前計画のツール及び保護手段の重要性を強調した。</w:t>
      </w:r>
    </w:p>
    <w:p w14:paraId="27B0E5CA"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70</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これに関連して、いくつかの提出意見は、医療及びケアの場におけるインフォームドコンセントの権利、並びにアクセシブルな情報、明確なコミュニケーション及び治療や介入を拒否する可能性の重要性を強調した。</w:t>
      </w:r>
    </w:p>
    <w:p w14:paraId="486C3DA4"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71</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参加及び包摂の原則は広く強調され、ステークホルダーたちは、高齢者が政策立案、サービス設計、監視及びガバナンスプロセスを含む、自らの生活に影響するすべての意思決定に意味のある形で参加することを可能にされなければならないことを強調した。参加は、諮問機関への代表と公式代表団への包摂を通じることを含め、構造化され、アクセシブルで、支援されるべきとされた。</w:t>
      </w:r>
    </w:p>
    <w:p w14:paraId="7B858C73"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72</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提出意見はまた、ジェンダー、障害、民族性、移住状況、社会経済的地位及び地理的位置に関連した複合的かつ交差的な差別形態を含む、交差性及び多様性の認識の重要性を強調した。高齢女性、少数民族、先住民族及び文化的に多様な人口が直面する複合的不平等に注意が払われた。</w:t>
      </w:r>
    </w:p>
    <w:p w14:paraId="4D6A09BE"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73</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アクセシビリティと包摂の原則は、情報、サービス、インフラ及びシステムへのアクセスを含む、すべての人権の効果的な享有のための必要条件として強調された。回答は、デジタル排除、</w:t>
      </w:r>
      <w:r w:rsidRPr="005E4F45">
        <w:rPr>
          <w:rFonts w:ascii="Segoe UI" w:eastAsia="ＭＳ Ｐゴシック" w:hAnsi="Segoe UI" w:cs="Segoe UI"/>
          <w:kern w:val="0"/>
          <w:szCs w:val="21"/>
          <w14:ligatures w14:val="none"/>
        </w:rPr>
        <w:t>識字の障壁、言語障壁及びシステムの複雑さに対処し、サービスがオンラインとオフラインの双方</w:t>
      </w:r>
      <w:r w:rsidRPr="005D00B3">
        <w:rPr>
          <w:rFonts w:ascii="Segoe UI" w:eastAsia="ＭＳ Ｐゴシック" w:hAnsi="Segoe UI" w:cs="Segoe UI"/>
          <w:kern w:val="0"/>
          <w:szCs w:val="21"/>
          <w14:ligatures w14:val="none"/>
        </w:rPr>
        <w:t>でアクセス可能であり続けることを確保する必要性を強調した。</w:t>
      </w:r>
    </w:p>
    <w:p w14:paraId="7804A280"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74</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提出意見はまた、人権が、アクセシブルな申立メカニズム、法的援助、司法的救済及び独立した監視を通じて実際に強制可能でなければならないことを強調し、司法へのアクセスと効果的な救済の中心性を強調した。この点に関し、ステークホルダーたちは、権利に基づく枠組みには違反が司法審査可能であり、効果的な是正メカニズムを伴うことが求められ、救済は高齢者の状況に対して適時、アクセシブルかつ適切であるべきことを強調した。</w:t>
      </w:r>
    </w:p>
    <w:p w14:paraId="64DAF897"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75</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CSO</w:t>
      </w:r>
      <w:r w:rsidRPr="005D00B3">
        <w:rPr>
          <w:rFonts w:ascii="Segoe UI" w:eastAsia="ＭＳ Ｐゴシック" w:hAnsi="Segoe UI" w:cs="Segoe UI"/>
          <w:kern w:val="0"/>
          <w:szCs w:val="21"/>
          <w14:ligatures w14:val="none"/>
        </w:rPr>
        <w:t>からのいくつかの提出意見は、ケア、支援及び長期ケアシステムに関する原則を強調し、ケアは人権、自律性及び尊厳に合致する方法で提供されなければならないことを強調した。ステークホルダーたちは、ケアは人中心で、可能な限り脱施設化的であり、独立した生活と地域社会への包摂を支援するものであるべきであり、権利の制限を正当化するために使用されるべきではないことを強調した。</w:t>
      </w:r>
    </w:p>
    <w:p w14:paraId="3F7FAEDE"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76</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これに関連して、いくつかのステークホルダーは、国際人権法における現行のギャップを踏まえ、さらなる発展を必要とする独自の新たな規範領域として、長期ケア及び支援への人権を認識することの重要性を強調した。</w:t>
      </w:r>
    </w:p>
    <w:p w14:paraId="206457B6" w14:textId="624CA03E" w:rsidR="005E4F45" w:rsidRPr="00FD1AEC"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lastRenderedPageBreak/>
        <w:t>77</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提出意見はまた、適切な所得、年金、雇用機会及び生涯学習への権利、並びに無償のケア</w:t>
      </w:r>
      <w:r w:rsidRPr="00FD1AEC">
        <w:rPr>
          <w:rFonts w:ascii="Segoe UI" w:eastAsia="ＭＳ Ｐゴシック" w:hAnsi="Segoe UI" w:cs="Segoe UI"/>
          <w:kern w:val="0"/>
          <w:szCs w:val="21"/>
          <w14:ligatures w14:val="none"/>
        </w:rPr>
        <w:t>及び地域社会への参加を含む高齢者の社会への貢献の認識を含め、社会的</w:t>
      </w:r>
      <w:r w:rsidR="00D848EA" w:rsidRPr="00FD1AEC">
        <w:rPr>
          <w:rFonts w:ascii="Segoe UI" w:eastAsia="ＭＳ Ｐゴシック" w:hAnsi="Segoe UI" w:cs="Segoe UI" w:hint="eastAsia"/>
          <w:kern w:val="0"/>
          <w:szCs w:val="21"/>
          <w14:ligatures w14:val="none"/>
        </w:rPr>
        <w:t>保障</w:t>
      </w:r>
      <w:r w:rsidRPr="00FD1AEC">
        <w:rPr>
          <w:rFonts w:ascii="Segoe UI" w:eastAsia="ＭＳ Ｐゴシック" w:hAnsi="Segoe UI" w:cs="Segoe UI"/>
          <w:kern w:val="0"/>
          <w:szCs w:val="21"/>
          <w14:ligatures w14:val="none"/>
        </w:rPr>
        <w:t>及び経済的保障に関する原則を強調した。</w:t>
      </w:r>
    </w:p>
    <w:p w14:paraId="4485AB85" w14:textId="718CC4C3" w:rsidR="005E4F45" w:rsidRPr="00FD1AEC"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FD1AEC">
        <w:rPr>
          <w:rFonts w:ascii="Segoe UI" w:eastAsia="ＭＳ Ｐゴシック" w:hAnsi="Segoe UI" w:cs="Segoe UI"/>
          <w:b/>
          <w:bCs/>
          <w:kern w:val="0"/>
          <w:szCs w:val="21"/>
          <w14:ligatures w14:val="none"/>
        </w:rPr>
        <w:t>78</w:t>
      </w:r>
      <w:r w:rsidRPr="00FD1AEC">
        <w:rPr>
          <w:rFonts w:ascii="Segoe UI" w:eastAsia="ＭＳ Ｐゴシック" w:hAnsi="Segoe UI" w:cs="Segoe UI"/>
          <w:b/>
          <w:bCs/>
          <w:kern w:val="0"/>
          <w:szCs w:val="21"/>
          <w14:ligatures w14:val="none"/>
        </w:rPr>
        <w:t>．</w:t>
      </w:r>
      <w:r w:rsidRPr="00FD1AEC">
        <w:rPr>
          <w:rFonts w:ascii="Segoe UI" w:eastAsia="ＭＳ Ｐゴシック" w:hAnsi="Segoe UI" w:cs="Segoe UI"/>
          <w:kern w:val="0"/>
          <w:szCs w:val="21"/>
          <w14:ligatures w14:val="none"/>
        </w:rPr>
        <w:t xml:space="preserve"> </w:t>
      </w:r>
      <w:r w:rsidRPr="00FD1AEC">
        <w:rPr>
          <w:rFonts w:ascii="Segoe UI" w:eastAsia="ＭＳ Ｐゴシック" w:hAnsi="Segoe UI" w:cs="Segoe UI"/>
          <w:kern w:val="0"/>
          <w:szCs w:val="21"/>
          <w14:ligatures w14:val="none"/>
        </w:rPr>
        <w:t>暴力、虐待及び放置からの保護の原則もまた一貫して強調され、家族、地域社会及び制度的な場における暴力に対処する必要性を含めた。提出意見は、虐待はしばしば十分に報告されず、予防的、</w:t>
      </w:r>
      <w:r w:rsidR="00D848EA" w:rsidRPr="00FD1AEC">
        <w:rPr>
          <w:rFonts w:ascii="Segoe UI" w:eastAsia="ＭＳ Ｐゴシック" w:hAnsi="Segoe UI" w:cs="Segoe UI" w:hint="eastAsia"/>
          <w:kern w:val="0"/>
          <w:szCs w:val="21"/>
          <w14:ligatures w14:val="none"/>
        </w:rPr>
        <w:t>保障</w:t>
      </w:r>
      <w:r w:rsidRPr="00FD1AEC">
        <w:rPr>
          <w:rFonts w:ascii="Segoe UI" w:eastAsia="ＭＳ Ｐゴシック" w:hAnsi="Segoe UI" w:cs="Segoe UI"/>
          <w:kern w:val="0"/>
          <w:szCs w:val="21"/>
          <w14:ligatures w14:val="none"/>
        </w:rPr>
        <w:t>的及び説明責任に基づく対応を必要とすることを強調した。</w:t>
      </w:r>
    </w:p>
    <w:p w14:paraId="5711F551" w14:textId="77777777" w:rsidR="005E4F45" w:rsidRPr="00FD1AEC"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FD1AEC">
        <w:rPr>
          <w:rFonts w:ascii="Segoe UI" w:eastAsia="ＭＳ Ｐゴシック" w:hAnsi="Segoe UI" w:cs="Segoe UI"/>
          <w:b/>
          <w:bCs/>
          <w:kern w:val="0"/>
          <w:szCs w:val="21"/>
          <w14:ligatures w14:val="none"/>
        </w:rPr>
        <w:t>79</w:t>
      </w:r>
      <w:r w:rsidRPr="00FD1AEC">
        <w:rPr>
          <w:rFonts w:ascii="Segoe UI" w:eastAsia="ＭＳ Ｐゴシック" w:hAnsi="Segoe UI" w:cs="Segoe UI"/>
          <w:b/>
          <w:bCs/>
          <w:kern w:val="0"/>
          <w:szCs w:val="21"/>
          <w14:ligatures w14:val="none"/>
        </w:rPr>
        <w:t>．</w:t>
      </w:r>
      <w:r w:rsidRPr="00FD1AEC">
        <w:rPr>
          <w:rFonts w:ascii="Segoe UI" w:eastAsia="ＭＳ Ｐゴシック" w:hAnsi="Segoe UI" w:cs="Segoe UI"/>
          <w:kern w:val="0"/>
          <w:szCs w:val="21"/>
          <w14:ligatures w14:val="none"/>
        </w:rPr>
        <w:t xml:space="preserve"> </w:t>
      </w:r>
      <w:r w:rsidRPr="00FD1AEC">
        <w:rPr>
          <w:rFonts w:ascii="Segoe UI" w:eastAsia="ＭＳ Ｐゴシック" w:hAnsi="Segoe UI" w:cs="Segoe UI"/>
          <w:kern w:val="0"/>
          <w:szCs w:val="21"/>
          <w14:ligatures w14:val="none"/>
        </w:rPr>
        <w:t>回答はさらに、世代間連帯及び社会的結束に関する原則を強調し、社会における高齢者の役割と、包摂的で年齢に配慮したコミュニティを育成することの重要性を認識した。</w:t>
      </w:r>
    </w:p>
    <w:p w14:paraId="66FD02C2" w14:textId="441BE559"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FD1AEC">
        <w:rPr>
          <w:rFonts w:ascii="Segoe UI" w:eastAsia="ＭＳ Ｐゴシック" w:hAnsi="Segoe UI" w:cs="Segoe UI"/>
          <w:b/>
          <w:bCs/>
          <w:kern w:val="0"/>
          <w:szCs w:val="21"/>
          <w14:ligatures w14:val="none"/>
        </w:rPr>
        <w:t>80</w:t>
      </w:r>
      <w:r w:rsidRPr="00FD1AEC">
        <w:rPr>
          <w:rFonts w:ascii="Segoe UI" w:eastAsia="ＭＳ Ｐゴシック" w:hAnsi="Segoe UI" w:cs="Segoe UI"/>
          <w:b/>
          <w:bCs/>
          <w:kern w:val="0"/>
          <w:szCs w:val="21"/>
          <w14:ligatures w14:val="none"/>
        </w:rPr>
        <w:t>．</w:t>
      </w:r>
      <w:r w:rsidRPr="00FD1AEC">
        <w:rPr>
          <w:rFonts w:ascii="Segoe UI" w:eastAsia="ＭＳ Ｐゴシック" w:hAnsi="Segoe UI" w:cs="Segoe UI"/>
          <w:kern w:val="0"/>
          <w:szCs w:val="21"/>
          <w14:ligatures w14:val="none"/>
        </w:rPr>
        <w:t xml:space="preserve"> </w:t>
      </w:r>
      <w:r w:rsidRPr="00FD1AEC">
        <w:rPr>
          <w:rFonts w:ascii="Segoe UI" w:eastAsia="ＭＳ Ｐゴシック" w:hAnsi="Segoe UI" w:cs="Segoe UI"/>
          <w:kern w:val="0"/>
          <w:szCs w:val="21"/>
          <w14:ligatures w14:val="none"/>
        </w:rPr>
        <w:t>最終的に、いくつかの提出意見は、すべての原則が、説明責任、漸進的実現及び不退行の枠組みの中で機能し、既存の保護手段の侵食を防ぎながら人権</w:t>
      </w:r>
      <w:r w:rsidR="00D848EA" w:rsidRPr="00FD1AEC">
        <w:rPr>
          <w:rFonts w:ascii="Segoe UI" w:eastAsia="ＭＳ Ｐゴシック" w:hAnsi="Segoe UI" w:cs="Segoe UI" w:hint="eastAsia"/>
          <w:kern w:val="0"/>
          <w:szCs w:val="21"/>
          <w14:ligatures w14:val="none"/>
        </w:rPr>
        <w:t>保障</w:t>
      </w:r>
      <w:r w:rsidRPr="00FD1AEC">
        <w:rPr>
          <w:rFonts w:ascii="Segoe UI" w:eastAsia="ＭＳ Ｐゴシック" w:hAnsi="Segoe UI" w:cs="Segoe UI"/>
          <w:kern w:val="0"/>
          <w:szCs w:val="21"/>
          <w14:ligatures w14:val="none"/>
        </w:rPr>
        <w:t>の継続的な改善を確保す</w:t>
      </w:r>
      <w:r w:rsidRPr="005D00B3">
        <w:rPr>
          <w:rFonts w:ascii="Segoe UI" w:eastAsia="ＭＳ Ｐゴシック" w:hAnsi="Segoe UI" w:cs="Segoe UI"/>
          <w:kern w:val="0"/>
          <w:szCs w:val="21"/>
          <w14:ligatures w14:val="none"/>
        </w:rPr>
        <w:t>べきことを強調した。</w:t>
      </w:r>
    </w:p>
    <w:p w14:paraId="135FC09E"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81</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専門家・学術界を含む</w:t>
      </w:r>
      <w:r w:rsidRPr="005D00B3">
        <w:rPr>
          <w:rFonts w:ascii="Segoe UI" w:eastAsia="ＭＳ Ｐゴシック" w:hAnsi="Segoe UI" w:cs="Segoe UI"/>
          <w:b/>
          <w:bCs/>
          <w:kern w:val="0"/>
          <w:szCs w:val="21"/>
          <w14:ligatures w14:val="none"/>
        </w:rPr>
        <w:t>その他の関連ステークホルダー</w:t>
      </w:r>
      <w:r w:rsidRPr="005D00B3">
        <w:rPr>
          <w:rFonts w:ascii="Segoe UI" w:eastAsia="ＭＳ Ｐゴシック" w:hAnsi="Segoe UI" w:cs="Segoe UI"/>
          <w:kern w:val="0"/>
          <w:szCs w:val="21"/>
          <w14:ligatures w14:val="none"/>
        </w:rPr>
        <w:t>からの提出意見は、尊厳、自律性、平等及び参加などの中核原則を再確認しつつ、より広範な規範的次元を導入した。いくつかは参加を、意思決定への高齢者の意味のある関与を求める中心的原則として強調した。</w:t>
      </w:r>
    </w:p>
    <w:p w14:paraId="5B6D35B4"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82</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いくつかの貢献は、ケア関係及び社会的文脈の中における自律性を認識し、自律性及び尊厳のより広範な理解を、関係的及び相互依存的なアプローチを含め発展させた。</w:t>
      </w:r>
    </w:p>
    <w:p w14:paraId="07B21F19"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83</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いくつかの提出意見は、実質的及び変革的平等を強調し、構造的不利益及び組織的差別に対処した。他の提出意見は、尊厳、自由及び虐待からの保護にとって必要なものとして、合意に基づく支援及びケアへのアクセスの認識を含め、ケアを中核的な人権原則として特に強調した。いくつかの貢献は、連帯と世代間責任を、終末期ケアにおける脆弱性の状況における同伴と支援を含め強調した。</w:t>
      </w:r>
    </w:p>
    <w:p w14:paraId="575FBA5A" w14:textId="77777777" w:rsidR="005E4F45" w:rsidRPr="005D00B3" w:rsidRDefault="00225FC5" w:rsidP="005E4F45">
      <w:pPr>
        <w:widowControl/>
        <w:spacing w:line="300" w:lineRule="atLeast"/>
        <w:rPr>
          <w:rFonts w:ascii="Segoe UI" w:eastAsia="ＭＳ Ｐゴシック" w:hAnsi="Segoe UI" w:cs="Segoe UI"/>
          <w:kern w:val="0"/>
          <w:szCs w:val="21"/>
          <w14:ligatures w14:val="none"/>
        </w:rPr>
      </w:pPr>
      <w:r>
        <w:rPr>
          <w:rFonts w:ascii="Segoe UI" w:eastAsia="ＭＳ Ｐゴシック" w:hAnsi="Segoe UI" w:cs="Segoe UI"/>
          <w:kern w:val="0"/>
          <w:szCs w:val="21"/>
          <w14:ligatures w14:val="none"/>
        </w:rPr>
        <w:pict w14:anchorId="61C37C24">
          <v:rect id="_x0000_i1026" style="width:0;height:1.5pt" o:hralign="center" o:hrstd="t" o:hr="t" fillcolor="#a0a0a0" stroked="f">
            <v:textbox inset="5.85pt,.7pt,5.85pt,.7pt"/>
          </v:rect>
        </w:pict>
      </w:r>
    </w:p>
    <w:p w14:paraId="0E7CF859" w14:textId="77777777" w:rsidR="005E4F45" w:rsidRPr="005D00B3" w:rsidRDefault="005E4F45" w:rsidP="005E4F45">
      <w:pPr>
        <w:widowControl/>
        <w:spacing w:before="100" w:beforeAutospacing="1" w:after="100" w:afterAutospacing="1" w:line="300" w:lineRule="atLeast"/>
        <w:outlineLvl w:val="2"/>
        <w:rPr>
          <w:rFonts w:ascii="Segoe UI" w:eastAsia="ＭＳ Ｐゴシック" w:hAnsi="Segoe UI" w:cs="Segoe UI"/>
          <w:b/>
          <w:bCs/>
          <w:kern w:val="0"/>
          <w:sz w:val="27"/>
          <w:szCs w:val="27"/>
          <w14:ligatures w14:val="none"/>
        </w:rPr>
      </w:pPr>
      <w:r w:rsidRPr="005D00B3">
        <w:rPr>
          <w:rFonts w:ascii="Segoe UI" w:eastAsia="ＭＳ Ｐゴシック" w:hAnsi="Segoe UI" w:cs="Segoe UI"/>
          <w:b/>
          <w:bCs/>
          <w:kern w:val="0"/>
          <w:sz w:val="27"/>
          <w:szCs w:val="27"/>
          <w14:ligatures w14:val="none"/>
        </w:rPr>
        <w:t>III</w:t>
      </w:r>
      <w:r w:rsidRPr="005D00B3">
        <w:rPr>
          <w:rFonts w:ascii="Segoe UI" w:eastAsia="ＭＳ Ｐゴシック" w:hAnsi="Segoe UI" w:cs="Segoe UI"/>
          <w:b/>
          <w:bCs/>
          <w:kern w:val="0"/>
          <w:sz w:val="27"/>
          <w:szCs w:val="27"/>
          <w14:ligatures w14:val="none"/>
        </w:rPr>
        <w:t>．全体的構造と設計</w:t>
      </w:r>
    </w:p>
    <w:p w14:paraId="6B502627" w14:textId="6CA28C9E" w:rsidR="005E4F45" w:rsidRPr="00FD1AEC"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84</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将来の法的拘束力を持つ文書の全体的構造と設計については、提出意見は概ね、将来の文書が確立された国連条約実践に沿った明確で整合的かつ包括的な構造を採用する必要性において収束した。多くの</w:t>
      </w:r>
      <w:r w:rsidRPr="005D00B3">
        <w:rPr>
          <w:rFonts w:ascii="Segoe UI" w:eastAsia="ＭＳ Ｐゴシック" w:hAnsi="Segoe UI" w:cs="Segoe UI"/>
          <w:b/>
          <w:bCs/>
          <w:kern w:val="0"/>
          <w:szCs w:val="21"/>
          <w14:ligatures w14:val="none"/>
        </w:rPr>
        <w:t>国家</w:t>
      </w:r>
      <w:r w:rsidRPr="005D00B3">
        <w:rPr>
          <w:rFonts w:ascii="Segoe UI" w:eastAsia="ＭＳ Ｐゴシック" w:hAnsi="Segoe UI" w:cs="Segoe UI"/>
          <w:kern w:val="0"/>
          <w:szCs w:val="21"/>
          <w14:ligatures w14:val="none"/>
        </w:rPr>
        <w:t>は、文書が少なくとも前文、定義、一般原則、一般的義務、具体的権</w:t>
      </w:r>
      <w:r w:rsidRPr="00FD1AEC">
        <w:rPr>
          <w:rFonts w:ascii="Segoe UI" w:eastAsia="ＭＳ Ｐゴシック" w:hAnsi="Segoe UI" w:cs="Segoe UI"/>
          <w:kern w:val="0"/>
          <w:szCs w:val="21"/>
          <w14:ligatures w14:val="none"/>
        </w:rPr>
        <w:t>利または</w:t>
      </w:r>
      <w:r w:rsidR="00D848EA" w:rsidRPr="00FD1AEC">
        <w:rPr>
          <w:rFonts w:ascii="Segoe UI" w:eastAsia="ＭＳ Ｐゴシック" w:hAnsi="Segoe UI" w:cs="Segoe UI" w:hint="eastAsia"/>
          <w:kern w:val="0"/>
          <w:szCs w:val="21"/>
          <w14:ligatures w14:val="none"/>
        </w:rPr>
        <w:t>保障</w:t>
      </w:r>
      <w:r w:rsidRPr="00FD1AEC">
        <w:rPr>
          <w:rFonts w:ascii="Segoe UI" w:eastAsia="ＭＳ Ｐゴシック" w:hAnsi="Segoe UI" w:cs="Segoe UI"/>
          <w:kern w:val="0"/>
          <w:szCs w:val="21"/>
          <w14:ligatures w14:val="none"/>
        </w:rPr>
        <w:t>領域に関する実体的セクション、並びに実施及び監視に関する規定を含むべきと提案した。</w:t>
      </w:r>
    </w:p>
    <w:p w14:paraId="7CD48C5E" w14:textId="661A2011"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FD1AEC">
        <w:rPr>
          <w:rFonts w:ascii="Segoe UI" w:eastAsia="ＭＳ Ｐゴシック" w:hAnsi="Segoe UI" w:cs="Segoe UI"/>
          <w:b/>
          <w:bCs/>
          <w:kern w:val="0"/>
          <w:szCs w:val="21"/>
          <w14:ligatures w14:val="none"/>
        </w:rPr>
        <w:lastRenderedPageBreak/>
        <w:t>85</w:t>
      </w:r>
      <w:r w:rsidRPr="00FD1AEC">
        <w:rPr>
          <w:rFonts w:ascii="Segoe UI" w:eastAsia="ＭＳ Ｐゴシック" w:hAnsi="Segoe UI" w:cs="Segoe UI"/>
          <w:b/>
          <w:bCs/>
          <w:kern w:val="0"/>
          <w:szCs w:val="21"/>
          <w14:ligatures w14:val="none"/>
        </w:rPr>
        <w:t>．</w:t>
      </w:r>
      <w:r w:rsidRPr="00FD1AEC">
        <w:rPr>
          <w:rFonts w:ascii="Segoe UI" w:eastAsia="ＭＳ Ｐゴシック" w:hAnsi="Segoe UI" w:cs="Segoe UI"/>
          <w:kern w:val="0"/>
          <w:szCs w:val="21"/>
          <w14:ligatures w14:val="none"/>
        </w:rPr>
        <w:t xml:space="preserve"> </w:t>
      </w:r>
      <w:r w:rsidRPr="00FD1AEC">
        <w:rPr>
          <w:rFonts w:ascii="Segoe UI" w:eastAsia="ＭＳ Ｐゴシック" w:hAnsi="Segoe UI" w:cs="Segoe UI"/>
          <w:kern w:val="0"/>
          <w:szCs w:val="21"/>
          <w14:ligatures w14:val="none"/>
        </w:rPr>
        <w:t>前文に関し、提出意見は、年齢構造変化の課題、持続するエイジズム及び普遍的な法的拘束力のある</w:t>
      </w:r>
      <w:r w:rsidR="00D848EA" w:rsidRPr="00FD1AEC">
        <w:rPr>
          <w:rFonts w:ascii="Segoe UI" w:eastAsia="ＭＳ Ｐゴシック" w:hAnsi="Segoe UI" w:cs="Segoe UI" w:hint="eastAsia"/>
          <w:kern w:val="0"/>
          <w:szCs w:val="21"/>
          <w14:ligatures w14:val="none"/>
        </w:rPr>
        <w:t>保障</w:t>
      </w:r>
      <w:r w:rsidRPr="00FD1AEC">
        <w:rPr>
          <w:rFonts w:ascii="Segoe UI" w:eastAsia="ＭＳ Ｐゴシック" w:hAnsi="Segoe UI" w:cs="Segoe UI"/>
          <w:kern w:val="0"/>
          <w:szCs w:val="21"/>
          <w14:ligatures w14:val="none"/>
        </w:rPr>
        <w:t>のギャップを含む、文書の文脈と根拠を定めるその役割を強調した。いくつかの</w:t>
      </w:r>
      <w:r w:rsidRPr="005D00B3">
        <w:rPr>
          <w:rFonts w:ascii="Segoe UI" w:eastAsia="ＭＳ Ｐゴシック" w:hAnsi="Segoe UI" w:cs="Segoe UI"/>
          <w:kern w:val="0"/>
          <w:szCs w:val="21"/>
          <w14:ligatures w14:val="none"/>
        </w:rPr>
        <w:t>提出意見は、前文が人権の普遍性、不可分性及び相互依存性を再確認し、高齢者の貢献と、高齢者が人権の享有において直面する特定の障壁の双方を認識すべきことを示した。</w:t>
      </w:r>
    </w:p>
    <w:p w14:paraId="0119E910" w14:textId="2BBF1575"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86</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定義については、いくつかの国家が、硬直した暦年齢の閾値を避け、多様な国内的・社会的文脈のための柔軟性を許容しながら、高齢者、エイジズム及び年齢差別などの主要用語を定義することの重要性を強調した。いくつかの提出意見は、年齢のみではなく権利享有への障壁に焦点を当てた機能的または運用的定義を提案した。他の提出意見は、定義が汚名を着せないものであ</w:t>
      </w:r>
      <w:r w:rsidRPr="00FD1AEC">
        <w:rPr>
          <w:rFonts w:ascii="Segoe UI" w:eastAsia="ＭＳ Ｐゴシック" w:hAnsi="Segoe UI" w:cs="Segoe UI"/>
          <w:kern w:val="0"/>
          <w:szCs w:val="21"/>
          <w14:ligatures w14:val="none"/>
        </w:rPr>
        <w:t>り、</w:t>
      </w:r>
      <w:r w:rsidR="00D848EA" w:rsidRPr="00FD1AEC">
        <w:rPr>
          <w:rFonts w:ascii="Segoe UI" w:eastAsia="ＭＳ Ｐゴシック" w:hAnsi="Segoe UI" w:cs="Segoe UI" w:hint="eastAsia"/>
          <w:kern w:val="0"/>
          <w:szCs w:val="21"/>
          <w14:ligatures w14:val="none"/>
        </w:rPr>
        <w:t>保障</w:t>
      </w:r>
      <w:r w:rsidRPr="00FD1AEC">
        <w:rPr>
          <w:rFonts w:ascii="Segoe UI" w:eastAsia="ＭＳ Ｐゴシック" w:hAnsi="Segoe UI" w:cs="Segoe UI"/>
          <w:kern w:val="0"/>
          <w:szCs w:val="21"/>
          <w14:ligatures w14:val="none"/>
        </w:rPr>
        <w:t>を制</w:t>
      </w:r>
      <w:r w:rsidRPr="005D00B3">
        <w:rPr>
          <w:rFonts w:ascii="Segoe UI" w:eastAsia="ＭＳ Ｐゴシック" w:hAnsi="Segoe UI" w:cs="Segoe UI"/>
          <w:kern w:val="0"/>
          <w:szCs w:val="21"/>
          <w14:ligatures w14:val="none"/>
        </w:rPr>
        <w:t>限することなく統一的な解釈を促進すべきことを強調した。この点に関し、高齢者を表現するために使用される用語の感受性に注意が払われ、文脈を超えた明確性、包摂性及び受容性を確保するための言語の選択を慎重に検討する必要性を含めた。</w:t>
      </w:r>
    </w:p>
    <w:p w14:paraId="5A0EC87A" w14:textId="23319F5C"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87</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提出意見は、解釈と適用を指針とする一般原則のセクションの包摂を支持した。これらの原則はしばしば国家により、尊厳、平等及び非差別、自律及び独立、参加及び包摂、アクセシビリティ、並びに暴力、虐待及び放置からの保護として特定された。いくつかの国家は、原則が実際の実施及び監視を指針とし、管轄区域を超えた整合的な解釈を支援する能力を持つべきことを強調した。</w:t>
      </w:r>
    </w:p>
    <w:p w14:paraId="042DDCF9"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88</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提出意見はまた、国家当事者の一般的義務の重要性を強調し、立法的、行政的、政策的及びその他の措置の採用、関連する政策分野を通じた加齢の主流化、エイジズムへの取り組み、アクセシビリティの確保、年齢で分類されたデータの収集、並びに意思決定への高齢者の参加の制度化を含めた。いくつかの提出意見はさらに、一般的義務が効果的な申立メカニズム及び司法へのアクセスを含め、防止と救済の双方に対処すべきことを強調した。</w:t>
      </w:r>
    </w:p>
    <w:p w14:paraId="6E82E391" w14:textId="0CD83D00"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89</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権利に関する実体的セクションについて、提出意見は、文書が老年期における既存の権利の適用を明確化し、より具体化された規範を通じて特定されたギャップに対処すべきことを提案した。いくつかの国家は、医療及び医療サービスへのアクセス、長期・緩和ケア、社会</w:t>
      </w:r>
      <w:r w:rsidRPr="00FD1AEC">
        <w:rPr>
          <w:rFonts w:ascii="Segoe UI" w:eastAsia="ＭＳ Ｐゴシック" w:hAnsi="Segoe UI" w:cs="Segoe UI"/>
          <w:kern w:val="0"/>
          <w:szCs w:val="21"/>
          <w14:ligatures w14:val="none"/>
        </w:rPr>
        <w:t>的</w:t>
      </w:r>
      <w:r w:rsidR="00D848EA" w:rsidRPr="00FD1AEC">
        <w:rPr>
          <w:rFonts w:ascii="Segoe UI" w:eastAsia="ＭＳ Ｐゴシック" w:hAnsi="Segoe UI" w:cs="Segoe UI" w:hint="eastAsia"/>
          <w:kern w:val="0"/>
          <w:szCs w:val="21"/>
          <w14:ligatures w14:val="none"/>
        </w:rPr>
        <w:t>保障</w:t>
      </w:r>
      <w:r w:rsidRPr="005D00B3">
        <w:rPr>
          <w:rFonts w:ascii="Segoe UI" w:eastAsia="ＭＳ Ｐゴシック" w:hAnsi="Segoe UI" w:cs="Segoe UI"/>
          <w:kern w:val="0"/>
          <w:szCs w:val="21"/>
          <w14:ligatures w14:val="none"/>
        </w:rPr>
        <w:t>及び経済的保障、暴力及び虐待からの自由、司法へのアクセス、参加及び包摂、並びにアクセシビリティに関連する権利を強調した。いくつかの提出意見は、権利セクションが技術変化を含む進化する文脈に対して包括的かつ応答的な方法で起草されるべきことを提案した。</w:t>
      </w:r>
    </w:p>
    <w:p w14:paraId="2E612AD6"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90</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実施、監視及び説明責任については、提出意見は監視とフォローアップを有効性の中心として論じたが、強調の仕方は異なっていた。いくつかの国家は、定期的報告を含む堅固な監視取り決めの必要性に言及した。また、条約監視機関と申立手続の設置への言及もあった。他の提出意見は重複を避けること、国家及び国連システムの資源制約を考慮すること、並びに既存のメカニズムの上に構築する合理化または革新的な監視アプローチを設計すること、または国家の人</w:t>
      </w:r>
      <w:r w:rsidRPr="005D00B3">
        <w:rPr>
          <w:rFonts w:ascii="Segoe UI" w:eastAsia="ＭＳ Ｐゴシック" w:hAnsi="Segoe UI" w:cs="Segoe UI"/>
          <w:kern w:val="0"/>
          <w:szCs w:val="21"/>
          <w14:ligatures w14:val="none"/>
        </w:rPr>
        <w:lastRenderedPageBreak/>
        <w:t>権義務の実施の監視のための確固たる信頼できる基盤をすでに提供している既存の監視メカニズムを使用することを強調した。いくつかの提出意見は、既存のシステムへの追加的負担を制限しつつ、国家間の対話、良い実践の共有及び協力を促進するメカニズムを含む、革新的で合理化されたまたはハイブリッドな説明責任及び監視モデルを探求することを提案した。</w:t>
      </w:r>
    </w:p>
    <w:p w14:paraId="60B522A4"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91</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異なるアプローチを通じて、多くの提出意見は、データ収集及び分析、高齢者及びその代表組織の参加、並びに国内独立監視機関（国内人権機関及びオンブズパーソンを含む）の役割の重要性を強調した。</w:t>
      </w:r>
    </w:p>
    <w:p w14:paraId="1FFED1AF"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92</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いくつかの提出意見は、実施規定が実現可能性、関連する場合における人権の漸進的実現、並びに特に開発途上国のための国際協力及び技術支援に明示的に対処すべきことを強調した。監視取り決めが文書の有効性と説明責任を維持しながら国家主権を尊重し各国の能力と資源を考慮すべきことが強調された。いくつかの提出意見はまた、文書が条約実践と整合する署名、批准、発効及び改正に関する最終条項を含むべきことを強調した。</w:t>
      </w:r>
    </w:p>
    <w:p w14:paraId="0DBEF3D4" w14:textId="6079E0FF"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93</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b/>
          <w:bCs/>
          <w:kern w:val="0"/>
          <w:szCs w:val="21"/>
          <w14:ligatures w14:val="none"/>
        </w:rPr>
        <w:t>高齢者によるすべての人権享有に関する独立専門家</w:t>
      </w:r>
      <w:r w:rsidRPr="005D00B3">
        <w:rPr>
          <w:rFonts w:ascii="Segoe UI" w:eastAsia="ＭＳ Ｐゴシック" w:hAnsi="Segoe UI" w:cs="Segoe UI"/>
          <w:kern w:val="0"/>
          <w:szCs w:val="21"/>
          <w14:ligatures w14:val="none"/>
        </w:rPr>
        <w:t>は、実施を支援し高齢者</w:t>
      </w:r>
      <w:r w:rsidRPr="00FD1AEC">
        <w:rPr>
          <w:rFonts w:ascii="Segoe UI" w:eastAsia="ＭＳ Ｐゴシック" w:hAnsi="Segoe UI" w:cs="Segoe UI"/>
          <w:kern w:val="0"/>
          <w:szCs w:val="21"/>
          <w14:ligatures w14:val="none"/>
        </w:rPr>
        <w:t>の人権</w:t>
      </w:r>
      <w:r w:rsidR="00D848EA" w:rsidRPr="00FD1AEC">
        <w:rPr>
          <w:rFonts w:ascii="Segoe UI" w:eastAsia="ＭＳ Ｐゴシック" w:hAnsi="Segoe UI" w:cs="Segoe UI" w:hint="eastAsia"/>
          <w:kern w:val="0"/>
          <w:szCs w:val="21"/>
          <w14:ligatures w14:val="none"/>
        </w:rPr>
        <w:t>保障</w:t>
      </w:r>
      <w:r w:rsidRPr="005D00B3">
        <w:rPr>
          <w:rFonts w:ascii="Segoe UI" w:eastAsia="ＭＳ Ｐゴシック" w:hAnsi="Segoe UI" w:cs="Segoe UI"/>
          <w:kern w:val="0"/>
          <w:szCs w:val="21"/>
          <w14:ligatures w14:val="none"/>
        </w:rPr>
        <w:t>を強化する効果的な枠組みを確保することの重要性を強調した。提出意見はまた、文書が前文、一般原則、一般的義務、具体的権利、並びに実施、監視及び説明責任に関する規定などの要素を含む、明確かつ包括的な構造を採用すべきことを示した。</w:t>
      </w:r>
    </w:p>
    <w:p w14:paraId="719CC9E7"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94</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b/>
          <w:bCs/>
          <w:kern w:val="0"/>
          <w:szCs w:val="21"/>
          <w14:ligatures w14:val="none"/>
        </w:rPr>
        <w:t>国内人権機関</w:t>
      </w:r>
      <w:r w:rsidRPr="005D00B3">
        <w:rPr>
          <w:rFonts w:ascii="Segoe UI" w:eastAsia="ＭＳ Ｐゴシック" w:hAnsi="Segoe UI" w:cs="Segoe UI"/>
          <w:kern w:val="0"/>
          <w:szCs w:val="21"/>
          <w14:ligatures w14:val="none"/>
        </w:rPr>
        <w:t>からの提出意見は、前文、定義、一般原則、一般的義務、具体的権利、並びに実施及び監視に関する規定を含む、確立された国連人権条約実践と整合する包括的かつ整合的な条約構造を支持した。このような構造が、国内レベルにおける文書の行政的及び司法的適用を促進しながら、明確性、整合性及び強制可能性を高めるべきことを強調した。</w:t>
      </w:r>
    </w:p>
    <w:p w14:paraId="26FAA479" w14:textId="79794DE6"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95</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いくつかの提出意見は、堅固な実施及び説明責任枠組みによって支えられた、人権を尊重、</w:t>
      </w:r>
      <w:r w:rsidR="001A0F3C" w:rsidRPr="005D00B3">
        <w:rPr>
          <w:rFonts w:ascii="Segoe UI" w:eastAsia="ＭＳ Ｐゴシック" w:hAnsi="Segoe UI" w:cs="Segoe UI" w:hint="eastAsia"/>
          <w:kern w:val="0"/>
          <w:szCs w:val="21"/>
          <w14:ligatures w14:val="none"/>
        </w:rPr>
        <w:t>保障</w:t>
      </w:r>
      <w:r w:rsidRPr="005D00B3">
        <w:rPr>
          <w:rFonts w:ascii="Segoe UI" w:eastAsia="ＭＳ Ｐゴシック" w:hAnsi="Segoe UI" w:cs="Segoe UI"/>
          <w:kern w:val="0"/>
          <w:szCs w:val="21"/>
          <w14:ligatures w14:val="none"/>
        </w:rPr>
        <w:t>及び実現する国家の明確に定義された義務の重要性を強調した。この点に関し、国内人権機関の実施及びフォローアップへの特定の貢献を含め、独立した監視、報告手続、効果的な救済及び国内監視メカニズムの役割を強調した。また、特定された</w:t>
      </w:r>
      <w:r w:rsidR="001A0F3C" w:rsidRPr="005D00B3">
        <w:rPr>
          <w:rFonts w:ascii="Segoe UI" w:eastAsia="ＭＳ Ｐゴシック" w:hAnsi="Segoe UI" w:cs="Segoe UI" w:hint="eastAsia"/>
          <w:kern w:val="0"/>
          <w:szCs w:val="21"/>
          <w14:ligatures w14:val="none"/>
        </w:rPr>
        <w:t>保障</w:t>
      </w:r>
      <w:r w:rsidRPr="005D00B3">
        <w:rPr>
          <w:rFonts w:ascii="Segoe UI" w:eastAsia="ＭＳ Ｐゴシック" w:hAnsi="Segoe UI" w:cs="Segoe UI"/>
          <w:kern w:val="0"/>
          <w:szCs w:val="21"/>
          <w14:ligatures w14:val="none"/>
        </w:rPr>
        <w:t>ギャップに対処し、実際における人権の効果的な実現を確保するための、改善されたデータ収集、国際協力及び制度的枠組みの必要性も強調した。</w:t>
      </w:r>
    </w:p>
    <w:p w14:paraId="78846BAD"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96</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b/>
          <w:bCs/>
          <w:kern w:val="0"/>
          <w:szCs w:val="21"/>
          <w14:ligatures w14:val="none"/>
        </w:rPr>
        <w:t>国際機関</w:t>
      </w:r>
      <w:r w:rsidRPr="005D00B3">
        <w:rPr>
          <w:rFonts w:ascii="Segoe UI" w:eastAsia="ＭＳ Ｐゴシック" w:hAnsi="Segoe UI" w:cs="Segoe UI"/>
          <w:kern w:val="0"/>
          <w:szCs w:val="21"/>
          <w14:ligatures w14:val="none"/>
        </w:rPr>
        <w:t>からの回答は、前文、定義、一般原則、一般的義務、具体的権利及び実施規定を含む、標準的で整合的な条約設計を広く支持した。</w:t>
      </w:r>
    </w:p>
    <w:p w14:paraId="0B23D51F"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97</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いくつかの回答は、既存のメカニズムとの重複を避けながら、構造が持続可能な開発目標、国際人権条約及び進行中の国連プロセスを含む既存の国際的枠組みと整合することを確保することの重要性を強調した。また、実施及び説明責任を支援するために、健康的加齢、その複数の</w:t>
      </w:r>
      <w:r w:rsidRPr="005D00B3">
        <w:rPr>
          <w:rFonts w:ascii="Segoe UI" w:eastAsia="ＭＳ Ｐゴシック" w:hAnsi="Segoe UI" w:cs="Segoe UI"/>
          <w:kern w:val="0"/>
          <w:szCs w:val="21"/>
          <w14:ligatures w14:val="none"/>
        </w:rPr>
        <w:lastRenderedPageBreak/>
        <w:t>形態におけるエイジズム、年齢に配慮した環境、並びに統合された人中心のケアなどの主要な運用概念を定義が対処すべきことも提案された。</w:t>
      </w:r>
    </w:p>
    <w:p w14:paraId="78B3B0BE"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98</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貢献は、適切な監視メカニズムの設置、強化されたデータシステム及び既存の報告との統合を含む、強固な実施及び監視規定の必要性を強調した。</w:t>
      </w:r>
    </w:p>
    <w:p w14:paraId="209068DA"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99</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いくつかの提出意見は、構造内においてより大きな特異性を提案し、住宅、土地及び都市における権利の次元の明示的な認識、並びにすべての条項にわたるジェンダー特有の規定（高齢女性及びジェンダー平等への専用の焦点を含む）の統合を含めた。</w:t>
      </w:r>
    </w:p>
    <w:p w14:paraId="5F134889"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100</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最終的に、国際機関からの回答は、設計が明確性、アクセシビリティ及び実際的な適用可能性を確保すべきことを強調し、明確な定義（「高齢者」など）と、国際的整合性を維持しながら多様な国内文脈に適応可能な規定を含めた。</w:t>
      </w:r>
    </w:p>
    <w:p w14:paraId="01D2ABB4"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101</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b/>
          <w:bCs/>
          <w:kern w:val="0"/>
          <w:szCs w:val="21"/>
          <w14:ligatures w14:val="none"/>
        </w:rPr>
        <w:t>市民社会の提出意見</w:t>
      </w:r>
      <w:r w:rsidRPr="005D00B3">
        <w:rPr>
          <w:rFonts w:ascii="Segoe UI" w:eastAsia="ＭＳ Ｐゴシック" w:hAnsi="Segoe UI" w:cs="Segoe UI"/>
          <w:kern w:val="0"/>
          <w:szCs w:val="21"/>
          <w14:ligatures w14:val="none"/>
        </w:rPr>
        <w:t>は、高齢者の具体的な現実に対処するために必要な革新を組み込みながら、既存の国際人権文書と密接に整合した包括的で整合的かつ運用可能な条約設計の発展を広く支持した。ステークホルダーたちは、文書の有効性はその規範的内容のみならず、その明確性、構造及び実際に実施を推進する能力にも依存することを強調した。</w:t>
      </w:r>
    </w:p>
    <w:p w14:paraId="0A11DC81"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102</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提出意見は一貫して、文書をより広い社会的、政治的及び人口動態的文脈の中に位置づける前文の包摂を支持した。前文は、グローバルな年齢構造変化を反映し、高齢者の歴史的及び継続的な周縁化を認め、年齢差別に加えてエイジズムを構造的かつ組織的現象として明示的に認識すべきとされた。同時に、ステークホルダーたちは、人口動態の変化が専ら課題としてではなく、機会としても、社会における高齢者の貢献と役割を認識する形で描かれるべきことを強調した。</w:t>
      </w:r>
    </w:p>
    <w:p w14:paraId="6A44F89C"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103</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定義及び範囲規定の必要性もまた強調され、特に「高齢者」、年齢差別、アクセシビリティ、ケア及び支援の概念に関して。提出意見は、定義が柔軟で文脈に配慮したものであり、硬直した暦年齢または歴史的年齢アプローチを避け、多様な社会的・文化的文脈を通じた包摂的な適用を許容すべきことを強調した。</w:t>
      </w:r>
    </w:p>
    <w:p w14:paraId="73026EE6"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104</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提出意見は、文書全体の解釈的及び運用的指針として機能する一般原則への専用セクションの重要性を強調した。これらの原則は単に宣言的なものにとどまらず、国内及び国際レベルにおける立法、政策及び司法的解釈を指針とすべきとされた。</w:t>
      </w:r>
    </w:p>
    <w:p w14:paraId="3F65503C" w14:textId="1E92FA4C"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105</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国家の一般的義務の明確化に強い強調が置かれ、立法、行政、政策及び予算措置を通じて高齢者の人権を尊重、</w:t>
      </w:r>
      <w:r w:rsidR="001A0F3C" w:rsidRPr="005D00B3">
        <w:rPr>
          <w:rFonts w:ascii="Segoe UI" w:eastAsia="ＭＳ Ｐゴシック" w:hAnsi="Segoe UI" w:cs="Segoe UI"/>
          <w:kern w:val="0"/>
          <w:szCs w:val="21"/>
          <w14:ligatures w14:val="none"/>
        </w:rPr>
        <w:t>保障</w:t>
      </w:r>
      <w:r w:rsidRPr="005D00B3">
        <w:rPr>
          <w:rFonts w:ascii="Segoe UI" w:eastAsia="ＭＳ Ｐゴシック" w:hAnsi="Segoe UI" w:cs="Segoe UI"/>
          <w:kern w:val="0"/>
          <w:szCs w:val="21"/>
          <w14:ligatures w14:val="none"/>
        </w:rPr>
        <w:t>及び実現する義務を含めた。回答は、義務が構造的差別、システム設計及びアクセスへの障壁を明示的に対処し、ケア提供者及びサービスシステムを含む民間</w:t>
      </w:r>
      <w:r w:rsidRPr="005D00B3">
        <w:rPr>
          <w:rFonts w:ascii="Segoe UI" w:eastAsia="ＭＳ Ｐゴシック" w:hAnsi="Segoe UI" w:cs="Segoe UI"/>
          <w:kern w:val="0"/>
          <w:szCs w:val="21"/>
          <w14:ligatures w14:val="none"/>
        </w:rPr>
        <w:lastRenderedPageBreak/>
        <w:t>アクターを規制することも必要とすることを強調した。義務はまた、すべての政策を通じて加齢を主流化し（「加齢の主流化」）、医療、ケア、住宅及び社会的</w:t>
      </w:r>
      <w:r w:rsidR="001A0F3C" w:rsidRPr="005D00B3">
        <w:rPr>
          <w:rFonts w:ascii="Segoe UI" w:eastAsia="ＭＳ Ｐゴシック" w:hAnsi="Segoe UI" w:cs="Segoe UI"/>
          <w:kern w:val="0"/>
          <w:szCs w:val="21"/>
          <w14:ligatures w14:val="none"/>
        </w:rPr>
        <w:t>保障</w:t>
      </w:r>
      <w:r w:rsidRPr="005D00B3">
        <w:rPr>
          <w:rFonts w:ascii="Segoe UI" w:eastAsia="ＭＳ Ｐゴシック" w:hAnsi="Segoe UI" w:cs="Segoe UI"/>
          <w:kern w:val="0"/>
          <w:szCs w:val="21"/>
          <w14:ligatures w14:val="none"/>
        </w:rPr>
        <w:t>などのセクターを通じた整合性を確保することも国家に求めるべきとされた。</w:t>
      </w:r>
    </w:p>
    <w:p w14:paraId="2CC3F02E"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106</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多くの提出意見は、高齢者への適用を明確にしながら、市民的、政治的、経済的、社会的及び文化的権利を対象とする包括的な権利のカタログの包摂を支持した。回答は、文書が既存の権利を再確認するとともに、現行の枠組みが曖昧または不十分である文脈を含め、これらの権利が老年期の文脈においてどのように適用されるかについての特異性を提供すべきことを強調した。</w:t>
      </w:r>
    </w:p>
    <w:p w14:paraId="73E1DB24"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107</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この点に関し、提出意見は長期ケア、緩和ケア、自律性及び法的能力、暴力及び虐待、デジタルインクルージョン、経済的保障、並びに人道的及び危機の文脈における権利を含む複数の領域にわたる規範的ギャップに対処する必要性を強調した。したがって文書は、権利が認識されるのみならず効果的に実現されることを確保する明確な法的基準、義務及び実施のための指針を提供することにより、既存のギャップを橋渡しすべきとされた。</w:t>
      </w:r>
    </w:p>
    <w:p w14:paraId="3AA0EA64" w14:textId="10ED9A43"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108</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市民社会組織はまた、構造が異なる政策システム間の統合を支援すること、特に実際においてしばしば断片化し人権享有への障壁を生み出している医療、ケア及び社会的</w:t>
      </w:r>
      <w:r w:rsidR="001A0F3C" w:rsidRPr="005D00B3">
        <w:rPr>
          <w:rFonts w:ascii="Segoe UI" w:eastAsia="ＭＳ Ｐゴシック" w:hAnsi="Segoe UI" w:cs="Segoe UI"/>
          <w:kern w:val="0"/>
          <w:szCs w:val="21"/>
          <w14:ligatures w14:val="none"/>
        </w:rPr>
        <w:t>保障</w:t>
      </w:r>
      <w:r w:rsidRPr="005D00B3">
        <w:rPr>
          <w:rFonts w:ascii="Segoe UI" w:eastAsia="ＭＳ Ｐゴシック" w:hAnsi="Segoe UI" w:cs="Segoe UI"/>
          <w:kern w:val="0"/>
          <w:szCs w:val="21"/>
          <w14:ligatures w14:val="none"/>
        </w:rPr>
        <w:t>システムの調整を確保することの重要性を強調した。</w:t>
      </w:r>
    </w:p>
    <w:p w14:paraId="4A4CD0F9"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109</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各提出意見全体にわたり、堅固な実施、監視及び説明責任メカニズムの確立が文書の有効性にとって重要なものとして広く特定された。提案には以下が含まれた：国家が立法、政策及び制度的メカニズムを採用することを求める国内実施枠組み；国内人権機関または専用の監視機関などの独立した監視機関；進捗の定期的な評価とギャップの特定を可能にする定期的な報告義務；条約機関または専門家委員会を含む国際的監視メカニズム；被害者が救済を求めることを可能にする個人及び集団申立メカニズム；並びに勧告と審査プロセスを含むフォローアップ手続。</w:t>
      </w:r>
    </w:p>
    <w:p w14:paraId="7FF9C7B4"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110</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回答は、監視システムが参加的で包摂的であり、報告、審査及び評価プロセスのすべての段階において市民社会組織と高齢者の組織の関与を確保すべきことを強調した。</w:t>
      </w:r>
    </w:p>
    <w:p w14:paraId="2C6F5022"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111</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提出意見はまた、権利は司法的及び行政的プロセスを通じて行動可能でなければならないことに留意しながら、効果的な救済へのアクセスと強制可能性を確保することの重要性を強く強調した。これには、アクセシブルな申立メカニズム、法的援助、手続的配慮及び高齢者のニーズに適応した保護手段の利用可能性が含まれる。いくつかの提出意見は、国内レベルにおける拘束的かつ強制可能なメカニズムが存在しない場合に権利が象徴的なものにとどまるリスクを強調した。</w:t>
      </w:r>
    </w:p>
    <w:p w14:paraId="4561F90D"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lastRenderedPageBreak/>
        <w:t>112</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市民社会組織はさらに、可視性、説明責任及び情報に基づく政策設計の前提条件として、年齢で分類されたデータの体系的な収集を含む、データ収集、研究及び証拠に基づく政策立案の重要性を強調した。データはまたジェンダー、障害、民族性及び社会経済的地位を含む交差的次元を反映すべきとされた。</w:t>
      </w:r>
    </w:p>
    <w:p w14:paraId="5A9C3340"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113</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提出意見はまた、多様な国内文脈を通じた効果的な実施を確保するために、技術支援、能力構築及び良い実践の共有を含む、特に資源の乏しい文脈のための国際協力及び支援に関する規定を強調した。</w:t>
      </w:r>
    </w:p>
    <w:p w14:paraId="3566FBB0"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114</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最終的に、市民社会組織は、全体的な設計が実際的、アクセシブル及び適応的であり、年齢構造変化、デジタル変革、気候変動及び人道的危機を含む進化するグローバル課題に対応可能でなければならないことを強調した。したがって文書は、時間をかけての関連性と有効性を確保するために、法的明確性と運用上の柔軟性を組み合わせるべきとされた。</w:t>
      </w:r>
    </w:p>
    <w:p w14:paraId="4AD255D2"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115</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専門家・学術界を含む</w:t>
      </w:r>
      <w:r w:rsidRPr="005D00B3">
        <w:rPr>
          <w:rFonts w:ascii="Segoe UI" w:eastAsia="ＭＳ Ｐゴシック" w:hAnsi="Segoe UI" w:cs="Segoe UI"/>
          <w:b/>
          <w:bCs/>
          <w:kern w:val="0"/>
          <w:szCs w:val="21"/>
          <w14:ligatures w14:val="none"/>
        </w:rPr>
        <w:t>その他の関連ステークホルダー</w:t>
      </w:r>
      <w:r w:rsidRPr="005D00B3">
        <w:rPr>
          <w:rFonts w:ascii="Segoe UI" w:eastAsia="ＭＳ Ｐゴシック" w:hAnsi="Segoe UI" w:cs="Segoe UI"/>
          <w:kern w:val="0"/>
          <w:szCs w:val="21"/>
          <w14:ligatures w14:val="none"/>
        </w:rPr>
        <w:t>からの提出意見は、標準的な条約構造（前文、定義、原則、義務、権利及び実施規定）を広く支持しつつ、追加的な運用上及び技術的要素を導入した。</w:t>
      </w:r>
    </w:p>
    <w:p w14:paraId="02332CB0" w14:textId="6DC55635"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116</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いくつかの貢献は、監視枠組みとデータシステムを含む堅固な実施及び説明責任メカニズムの必要性を強調した。いくつかのステークホルダーは主要な領域においてより大きな特異性を提案し、リスク状況及び人道的緊急事態に関する専用規定；ケアシステムと強制可能な権利の枠組みとしての支援へのアクセスの明確な表現；並びに社会的</w:t>
      </w:r>
      <w:r w:rsidR="001A0F3C" w:rsidRPr="005D00B3">
        <w:rPr>
          <w:rFonts w:ascii="Segoe UI" w:eastAsia="ＭＳ Ｐゴシック" w:hAnsi="Segoe UI" w:cs="Segoe UI"/>
          <w:kern w:val="0"/>
          <w:szCs w:val="21"/>
          <w14:ligatures w14:val="none"/>
        </w:rPr>
        <w:t>保障</w:t>
      </w:r>
      <w:r w:rsidRPr="005D00B3">
        <w:rPr>
          <w:rFonts w:ascii="Segoe UI" w:eastAsia="ＭＳ Ｐゴシック" w:hAnsi="Segoe UI" w:cs="Segoe UI"/>
          <w:kern w:val="0"/>
          <w:szCs w:val="21"/>
          <w14:ligatures w14:val="none"/>
        </w:rPr>
        <w:t>設計と給付システムへの詳細なアプローチを含めた。</w:t>
      </w:r>
    </w:p>
    <w:p w14:paraId="004615C9" w14:textId="77777777" w:rsidR="005E4F45" w:rsidRPr="005D00B3"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117</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他のステークホルダーからの提出意見は、包摂が必要な領域として、刑事司法及び拘禁の文脈、並びに保護及び申立枠組みにおける実際的障壁を強調した。</w:t>
      </w:r>
    </w:p>
    <w:p w14:paraId="1BBE7C31" w14:textId="77777777" w:rsidR="005E4F45" w:rsidRPr="005E4F45" w:rsidRDefault="005E4F45" w:rsidP="005E4F45">
      <w:pPr>
        <w:widowControl/>
        <w:spacing w:before="100" w:beforeAutospacing="1" w:after="100" w:afterAutospacing="1" w:line="300" w:lineRule="atLeast"/>
        <w:rPr>
          <w:rFonts w:ascii="Segoe UI" w:eastAsia="ＭＳ Ｐゴシック" w:hAnsi="Segoe UI" w:cs="Segoe UI"/>
          <w:kern w:val="0"/>
          <w:szCs w:val="21"/>
          <w14:ligatures w14:val="none"/>
        </w:rPr>
      </w:pPr>
      <w:r w:rsidRPr="005D00B3">
        <w:rPr>
          <w:rFonts w:ascii="Segoe UI" w:eastAsia="ＭＳ Ｐゴシック" w:hAnsi="Segoe UI" w:cs="Segoe UI"/>
          <w:b/>
          <w:bCs/>
          <w:kern w:val="0"/>
          <w:szCs w:val="21"/>
          <w14:ligatures w14:val="none"/>
        </w:rPr>
        <w:t>118</w:t>
      </w:r>
      <w:r w:rsidRPr="005D00B3">
        <w:rPr>
          <w:rFonts w:ascii="Segoe UI" w:eastAsia="ＭＳ Ｐゴシック" w:hAnsi="Segoe UI" w:cs="Segoe UI"/>
          <w:b/>
          <w:bCs/>
          <w:kern w:val="0"/>
          <w:szCs w:val="21"/>
          <w14:ligatures w14:val="none"/>
        </w:rPr>
        <w:t>．</w:t>
      </w:r>
      <w:r w:rsidRPr="005D00B3">
        <w:rPr>
          <w:rFonts w:ascii="Segoe UI" w:eastAsia="ＭＳ Ｐゴシック" w:hAnsi="Segoe UI" w:cs="Segoe UI"/>
          <w:kern w:val="0"/>
          <w:szCs w:val="21"/>
          <w14:ligatures w14:val="none"/>
        </w:rPr>
        <w:t xml:space="preserve"> </w:t>
      </w:r>
      <w:r w:rsidRPr="005D00B3">
        <w:rPr>
          <w:rFonts w:ascii="Segoe UI" w:eastAsia="ＭＳ Ｐゴシック" w:hAnsi="Segoe UI" w:cs="Segoe UI"/>
          <w:kern w:val="0"/>
          <w:szCs w:val="21"/>
          <w14:ligatures w14:val="none"/>
        </w:rPr>
        <w:t>全体として、ステークホルダーたちは、設計が明確、アクセシブルで実際に適用可能であり、権利主体のための平易な言語と利用者のしやすさを含むべきことを強調した。</w:t>
      </w:r>
    </w:p>
    <w:p w14:paraId="56CC972F" w14:textId="0A39A2D3" w:rsidR="005E4F45" w:rsidRPr="005E4F45" w:rsidRDefault="00D848EA" w:rsidP="00D848EA">
      <w:pPr>
        <w:widowControl/>
        <w:spacing w:before="100" w:beforeAutospacing="1" w:after="100" w:afterAutospacing="1" w:line="300" w:lineRule="atLeast"/>
        <w:jc w:val="right"/>
        <w:rPr>
          <w:rFonts w:ascii="Segoe UI" w:eastAsia="ＭＳ Ｐゴシック" w:hAnsi="Segoe UI" w:cs="Segoe UI"/>
          <w:kern w:val="0"/>
          <w:szCs w:val="21"/>
          <w14:ligatures w14:val="none"/>
        </w:rPr>
      </w:pPr>
      <w:r w:rsidRPr="00FD1AEC">
        <w:rPr>
          <w:rFonts w:ascii="Segoe UI" w:eastAsia="ＭＳ Ｐゴシック" w:hAnsi="Segoe UI" w:cs="Segoe UI" w:hint="eastAsia"/>
          <w:kern w:val="0"/>
          <w:szCs w:val="21"/>
          <w14:ligatures w14:val="none"/>
        </w:rPr>
        <w:t>（翻訳：佐藤久夫、　　　　）</w:t>
      </w:r>
    </w:p>
    <w:p w14:paraId="3DD9839C" w14:textId="77777777" w:rsidR="0072110F" w:rsidRPr="003463E7" w:rsidRDefault="0072110F"/>
    <w:sectPr w:rsidR="0072110F" w:rsidRPr="003463E7">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9A286" w14:textId="77777777" w:rsidR="00114864" w:rsidRDefault="00114864" w:rsidP="003463E7">
      <w:r>
        <w:separator/>
      </w:r>
    </w:p>
  </w:endnote>
  <w:endnote w:type="continuationSeparator" w:id="0">
    <w:p w14:paraId="702ED538" w14:textId="77777777" w:rsidR="00114864" w:rsidRDefault="00114864" w:rsidP="00346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D デジタル 教科書体 NK-R">
    <w:panose1 w:val="020204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3722489"/>
      <w:docPartObj>
        <w:docPartGallery w:val="Page Numbers (Bottom of Page)"/>
        <w:docPartUnique/>
      </w:docPartObj>
    </w:sdtPr>
    <w:sdtEndPr/>
    <w:sdtContent>
      <w:p w14:paraId="0D713825" w14:textId="10A399AB" w:rsidR="005E4F45" w:rsidRDefault="005E4F45">
        <w:pPr>
          <w:pStyle w:val="af"/>
          <w:jc w:val="center"/>
        </w:pPr>
        <w:r>
          <w:fldChar w:fldCharType="begin"/>
        </w:r>
        <w:r>
          <w:instrText>PAGE   \* MERGEFORMAT</w:instrText>
        </w:r>
        <w:r>
          <w:fldChar w:fldCharType="separate"/>
        </w:r>
        <w:r>
          <w:rPr>
            <w:lang w:val="ja-JP"/>
          </w:rPr>
          <w:t>2</w:t>
        </w:r>
        <w:r>
          <w:fldChar w:fldCharType="end"/>
        </w:r>
      </w:p>
    </w:sdtContent>
  </w:sdt>
  <w:p w14:paraId="72DCA906" w14:textId="77777777" w:rsidR="005E4F45" w:rsidRDefault="005E4F45">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67280" w14:textId="77777777" w:rsidR="00114864" w:rsidRDefault="00114864" w:rsidP="003463E7">
      <w:r>
        <w:separator/>
      </w:r>
    </w:p>
  </w:footnote>
  <w:footnote w:type="continuationSeparator" w:id="0">
    <w:p w14:paraId="6B178EE7" w14:textId="77777777" w:rsidR="00114864" w:rsidRDefault="00114864" w:rsidP="003463E7">
      <w:r>
        <w:continuationSeparator/>
      </w:r>
    </w:p>
  </w:footnote>
  <w:footnote w:id="1">
    <w:p w14:paraId="58D2B7A1" w14:textId="43E4CD7A" w:rsidR="003463E7" w:rsidRDefault="003463E7">
      <w:pPr>
        <w:pStyle w:val="aa"/>
      </w:pPr>
      <w:r>
        <w:rPr>
          <w:rStyle w:val="ac"/>
        </w:rPr>
        <w:footnoteRef/>
      </w:r>
      <w:r>
        <w:t xml:space="preserve"> </w:t>
      </w:r>
      <w:r w:rsidRPr="003463E7">
        <w:rPr>
          <w:rFonts w:ascii="ＭＳ ゴシック" w:eastAsia="ＭＳ ゴシック" w:hAnsi="ＭＳ ゴシック"/>
        </w:rPr>
        <w:t>https://www.ohchr.org/en/calls-for-input/2026/call-inputs-general-framework-architecture-and-guiding-principles-legally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3E7"/>
    <w:rsid w:val="00013CD2"/>
    <w:rsid w:val="0005222C"/>
    <w:rsid w:val="00054BBF"/>
    <w:rsid w:val="00114864"/>
    <w:rsid w:val="001A0F3C"/>
    <w:rsid w:val="00225FC5"/>
    <w:rsid w:val="00243A17"/>
    <w:rsid w:val="002A07D9"/>
    <w:rsid w:val="00343E42"/>
    <w:rsid w:val="003463E7"/>
    <w:rsid w:val="003C6772"/>
    <w:rsid w:val="003E5C5F"/>
    <w:rsid w:val="00565375"/>
    <w:rsid w:val="005D00B3"/>
    <w:rsid w:val="005E4F45"/>
    <w:rsid w:val="006153EA"/>
    <w:rsid w:val="006453A1"/>
    <w:rsid w:val="006A2912"/>
    <w:rsid w:val="006C722D"/>
    <w:rsid w:val="007157F1"/>
    <w:rsid w:val="0072110F"/>
    <w:rsid w:val="007B50F8"/>
    <w:rsid w:val="00805482"/>
    <w:rsid w:val="008466D2"/>
    <w:rsid w:val="009E0951"/>
    <w:rsid w:val="009F5569"/>
    <w:rsid w:val="00A42D1E"/>
    <w:rsid w:val="00BB77DC"/>
    <w:rsid w:val="00BF0654"/>
    <w:rsid w:val="00C15F97"/>
    <w:rsid w:val="00C821E3"/>
    <w:rsid w:val="00D848EA"/>
    <w:rsid w:val="00DD5B85"/>
    <w:rsid w:val="00EC3546"/>
    <w:rsid w:val="00F34627"/>
    <w:rsid w:val="00FD1AEC"/>
    <w:rsid w:val="00FD76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2">
      <v:textbox inset="5.85pt,.7pt,5.85pt,.7pt"/>
    </o:shapedefaults>
    <o:shapelayout v:ext="edit">
      <o:idmap v:ext="edit" data="2"/>
    </o:shapelayout>
  </w:shapeDefaults>
  <w:decimalSymbol w:val="."/>
  <w:listSeparator w:val=","/>
  <w14:docId w14:val="740A2CB4"/>
  <w15:chartTrackingRefBased/>
  <w15:docId w15:val="{F58DD402-434A-4BA6-A1A9-0ADAD181D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D デジタル 教科書体 NK-R" w:eastAsia="UD デジタル 教科書体 NK-R"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463E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463E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463E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463E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463E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463E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463E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463E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463E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463E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463E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463E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463E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463E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463E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463E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463E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463E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463E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463E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463E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463E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463E7"/>
    <w:pPr>
      <w:spacing w:before="160" w:after="160"/>
      <w:jc w:val="center"/>
    </w:pPr>
    <w:rPr>
      <w:i/>
      <w:iCs/>
      <w:color w:val="404040" w:themeColor="text1" w:themeTint="BF"/>
    </w:rPr>
  </w:style>
  <w:style w:type="character" w:customStyle="1" w:styleId="a8">
    <w:name w:val="引用文 (文字)"/>
    <w:basedOn w:val="a0"/>
    <w:link w:val="a7"/>
    <w:uiPriority w:val="29"/>
    <w:rsid w:val="003463E7"/>
    <w:rPr>
      <w:i/>
      <w:iCs/>
      <w:color w:val="404040" w:themeColor="text1" w:themeTint="BF"/>
    </w:rPr>
  </w:style>
  <w:style w:type="paragraph" w:styleId="a9">
    <w:name w:val="List Paragraph"/>
    <w:basedOn w:val="a"/>
    <w:uiPriority w:val="34"/>
    <w:qFormat/>
    <w:rsid w:val="003463E7"/>
    <w:pPr>
      <w:ind w:left="720"/>
      <w:contextualSpacing/>
    </w:pPr>
  </w:style>
  <w:style w:type="character" w:styleId="21">
    <w:name w:val="Intense Emphasis"/>
    <w:basedOn w:val="a0"/>
    <w:uiPriority w:val="21"/>
    <w:qFormat/>
    <w:rsid w:val="003463E7"/>
    <w:rPr>
      <w:i/>
      <w:iCs/>
      <w:color w:val="0F4761" w:themeColor="accent1" w:themeShade="BF"/>
    </w:rPr>
  </w:style>
  <w:style w:type="paragraph" w:styleId="22">
    <w:name w:val="Intense Quote"/>
    <w:basedOn w:val="a"/>
    <w:next w:val="a"/>
    <w:link w:val="23"/>
    <w:uiPriority w:val="30"/>
    <w:qFormat/>
    <w:rsid w:val="003463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463E7"/>
    <w:rPr>
      <w:i/>
      <w:iCs/>
      <w:color w:val="0F4761" w:themeColor="accent1" w:themeShade="BF"/>
    </w:rPr>
  </w:style>
  <w:style w:type="character" w:styleId="24">
    <w:name w:val="Intense Reference"/>
    <w:basedOn w:val="a0"/>
    <w:uiPriority w:val="32"/>
    <w:qFormat/>
    <w:rsid w:val="003463E7"/>
    <w:rPr>
      <w:b/>
      <w:bCs/>
      <w:smallCaps/>
      <w:color w:val="0F4761" w:themeColor="accent1" w:themeShade="BF"/>
      <w:spacing w:val="5"/>
    </w:rPr>
  </w:style>
  <w:style w:type="paragraph" w:styleId="aa">
    <w:name w:val="footnote text"/>
    <w:basedOn w:val="a"/>
    <w:link w:val="ab"/>
    <w:uiPriority w:val="99"/>
    <w:semiHidden/>
    <w:unhideWhenUsed/>
    <w:rsid w:val="003463E7"/>
    <w:pPr>
      <w:snapToGrid w:val="0"/>
    </w:pPr>
  </w:style>
  <w:style w:type="character" w:customStyle="1" w:styleId="ab">
    <w:name w:val="脚注文字列 (文字)"/>
    <w:basedOn w:val="a0"/>
    <w:link w:val="aa"/>
    <w:uiPriority w:val="99"/>
    <w:semiHidden/>
    <w:rsid w:val="003463E7"/>
  </w:style>
  <w:style w:type="character" w:styleId="ac">
    <w:name w:val="footnote reference"/>
    <w:basedOn w:val="a0"/>
    <w:uiPriority w:val="99"/>
    <w:semiHidden/>
    <w:unhideWhenUsed/>
    <w:rsid w:val="003463E7"/>
    <w:rPr>
      <w:vertAlign w:val="superscript"/>
    </w:rPr>
  </w:style>
  <w:style w:type="paragraph" w:styleId="ad">
    <w:name w:val="header"/>
    <w:basedOn w:val="a"/>
    <w:link w:val="ae"/>
    <w:uiPriority w:val="99"/>
    <w:unhideWhenUsed/>
    <w:rsid w:val="005E4F45"/>
    <w:pPr>
      <w:tabs>
        <w:tab w:val="center" w:pos="4252"/>
        <w:tab w:val="right" w:pos="8504"/>
      </w:tabs>
      <w:snapToGrid w:val="0"/>
    </w:pPr>
  </w:style>
  <w:style w:type="character" w:customStyle="1" w:styleId="ae">
    <w:name w:val="ヘッダー (文字)"/>
    <w:basedOn w:val="a0"/>
    <w:link w:val="ad"/>
    <w:uiPriority w:val="99"/>
    <w:rsid w:val="005E4F45"/>
  </w:style>
  <w:style w:type="paragraph" w:styleId="af">
    <w:name w:val="footer"/>
    <w:basedOn w:val="a"/>
    <w:link w:val="af0"/>
    <w:uiPriority w:val="99"/>
    <w:unhideWhenUsed/>
    <w:rsid w:val="005E4F45"/>
    <w:pPr>
      <w:tabs>
        <w:tab w:val="center" w:pos="4252"/>
        <w:tab w:val="right" w:pos="8504"/>
      </w:tabs>
      <w:snapToGrid w:val="0"/>
    </w:pPr>
  </w:style>
  <w:style w:type="character" w:customStyle="1" w:styleId="af0">
    <w:name w:val="フッター (文字)"/>
    <w:basedOn w:val="a0"/>
    <w:link w:val="af"/>
    <w:uiPriority w:val="99"/>
    <w:rsid w:val="005E4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34E7A-C0E7-439C-BAF8-ABC1E3014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3295</Words>
  <Characters>18785</Characters>
  <Application>Microsoft Office Word</Application>
  <DocSecurity>0</DocSecurity>
  <Lines>156</Lines>
  <Paragraphs>44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SUZUKI Shizuka</dc:creator>
  <cp:keywords/>
  <dc:description/>
  <cp:lastModifiedBy>久夫 佐藤</cp:lastModifiedBy>
  <cp:revision>2</cp:revision>
  <dcterms:created xsi:type="dcterms:W3CDTF">2026-08-30T08:21:00Z</dcterms:created>
  <dcterms:modified xsi:type="dcterms:W3CDTF">2026-08-30T08:21:00Z</dcterms:modified>
</cp:coreProperties>
</file>