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E4A6" w14:textId="34F4C635" w:rsidR="004A2E88" w:rsidRPr="00A43E28" w:rsidRDefault="004A2E88" w:rsidP="004A2E88">
      <w:pPr>
        <w:pStyle w:val="Web"/>
        <w:rPr>
          <w:rFonts w:ascii="BIZ UDPゴシック" w:eastAsia="BIZ UDPゴシック" w:hAnsi="BIZ UDPゴシック"/>
        </w:rPr>
      </w:pPr>
      <w:r w:rsidRPr="00A43E28">
        <w:rPr>
          <w:rFonts w:ascii="BIZ UDPゴシック" w:eastAsia="BIZ UDPゴシック" w:hAnsi="BIZ UDPゴシック" w:hint="eastAsia"/>
        </w:rPr>
        <w:t>議題5　一般的意見</w:t>
      </w:r>
    </w:p>
    <w:p w14:paraId="47628142" w14:textId="3B87DD30" w:rsidR="004A2E88" w:rsidRPr="00160F80" w:rsidRDefault="004A2E88" w:rsidP="004A2E88">
      <w:pPr>
        <w:rPr>
          <w:rFonts w:ascii="BIZ UDPゴシック" w:eastAsia="BIZ UDPゴシック" w:hAnsi="BIZ UDPゴシック"/>
          <w:sz w:val="24"/>
          <w:szCs w:val="24"/>
          <w:lang w:eastAsia="ja-JP"/>
        </w:rPr>
      </w:pPr>
      <w:r>
        <w:rPr>
          <w:rFonts w:ascii="BIZ UDPゴシック" w:eastAsia="BIZ UDPゴシック" w:hAnsi="BIZ UDPゴシック" w:hint="eastAsia"/>
          <w:sz w:val="24"/>
          <w:szCs w:val="24"/>
          <w:lang w:eastAsia="ja-JP"/>
        </w:rPr>
        <w:t>イタリア</w:t>
      </w:r>
    </w:p>
    <w:p w14:paraId="42A1E5B4" w14:textId="57033621" w:rsidR="000B2AFD" w:rsidRDefault="000B2AFD">
      <w:pPr>
        <w:rPr>
          <w:lang w:eastAsia="ja-JP"/>
        </w:rPr>
      </w:pPr>
    </w:p>
    <w:p w14:paraId="295E8D2C" w14:textId="4F9539AB" w:rsidR="004A2E88" w:rsidRPr="004A2E88" w:rsidRDefault="00706129" w:rsidP="004A2E88">
      <w:pPr>
        <w:widowControl/>
        <w:spacing w:before="100" w:beforeAutospacing="1" w:after="100" w:afterAutospacing="1"/>
        <w:jc w:val="left"/>
        <w:rPr>
          <w:rFonts w:ascii="ＭＳ 明朝" w:eastAsia="ＭＳ 明朝" w:hAnsi="ＭＳ 明朝" w:cs="ＭＳ Ｐゴシック"/>
          <w:kern w:val="0"/>
          <w:szCs w:val="21"/>
          <w:lang w:val="en-US" w:eastAsia="ja-JP"/>
          <w14:ligatures w14:val="none"/>
        </w:rPr>
      </w:pPr>
      <w:r w:rsidRPr="00FC294C">
        <w:rPr>
          <w:rFonts w:ascii="ＭＳ 明朝" w:eastAsia="ＭＳ 明朝" w:hAnsi="ＭＳ 明朝" w:cs="ＭＳ Ｐゴシック" w:hint="eastAsia"/>
          <w:kern w:val="0"/>
          <w:szCs w:val="21"/>
          <w:lang w:val="en-US" w:eastAsia="ja-JP"/>
          <w14:ligatures w14:val="none"/>
        </w:rPr>
        <w:t>●</w:t>
      </w:r>
      <w:r w:rsidR="004A2E88" w:rsidRPr="004A2E88">
        <w:rPr>
          <w:rFonts w:ascii="ＭＳ 明朝" w:eastAsia="ＭＳ 明朝" w:hAnsi="ＭＳ 明朝" w:cs="ＭＳ Ｐゴシック"/>
          <w:kern w:val="0"/>
          <w:szCs w:val="21"/>
          <w:lang w:val="en-US" w:eastAsia="ja-JP"/>
          <w14:ligatures w14:val="none"/>
        </w:rPr>
        <w:t xml:space="preserve"> </w:t>
      </w:r>
      <w:r w:rsidRPr="00FC294C">
        <w:rPr>
          <w:rFonts w:ascii="ＭＳ 明朝" w:eastAsia="ＭＳ 明朝" w:hAnsi="ＭＳ 明朝" w:cs="ＭＳ Ｐゴシック" w:hint="eastAsia"/>
          <w:kern w:val="0"/>
          <w:szCs w:val="21"/>
          <w:lang w:val="en-US" w:eastAsia="ja-JP"/>
          <w14:ligatures w14:val="none"/>
        </w:rPr>
        <w:t xml:space="preserve">　</w:t>
      </w:r>
      <w:r w:rsidR="004A2E88" w:rsidRPr="004A2E88">
        <w:rPr>
          <w:rFonts w:ascii="ＭＳ 明朝" w:eastAsia="ＭＳ 明朝" w:hAnsi="ＭＳ 明朝" w:cs="ＭＳ Ｐゴシック"/>
          <w:kern w:val="0"/>
          <w:szCs w:val="21"/>
          <w:lang w:val="en-US" w:eastAsia="ja-JP"/>
          <w14:ligatures w14:val="none"/>
        </w:rPr>
        <w:t>イタリアは、高齢者の人権（HROPs）の促進と保護に関する法的拘束力のある文書（LBI）を策定するための</w:t>
      </w:r>
      <w:r w:rsidR="00FC294C">
        <w:rPr>
          <w:rFonts w:ascii="ＭＳ 明朝" w:eastAsia="ＭＳ 明朝" w:hAnsi="ＭＳ 明朝" w:cs="ＭＳ Ｐゴシック" w:hint="eastAsia"/>
          <w:kern w:val="0"/>
          <w:szCs w:val="21"/>
          <w:lang w:val="en-US" w:eastAsia="ja-JP"/>
          <w14:ligatures w14:val="none"/>
        </w:rPr>
        <w:t>オープンエンド</w:t>
      </w:r>
      <w:r w:rsidR="004A2E88" w:rsidRPr="004A2E88">
        <w:rPr>
          <w:rFonts w:ascii="ＭＳ 明朝" w:eastAsia="ＭＳ 明朝" w:hAnsi="ＭＳ 明朝" w:cs="ＭＳ Ｐゴシック"/>
          <w:kern w:val="0"/>
          <w:szCs w:val="21"/>
          <w:lang w:val="en-US" w:eastAsia="ja-JP"/>
          <w14:ligatures w14:val="none"/>
        </w:rPr>
        <w:t>政府間作業部会（OEIGWG）の設立を支持してき</w:t>
      </w:r>
      <w:r w:rsidRPr="00FC294C">
        <w:rPr>
          <w:rFonts w:ascii="ＭＳ 明朝" w:eastAsia="ＭＳ 明朝" w:hAnsi="ＭＳ 明朝" w:cs="ＭＳ Ｐゴシック" w:hint="eastAsia"/>
          <w:kern w:val="0"/>
          <w:szCs w:val="21"/>
          <w:lang w:val="en-US" w:eastAsia="ja-JP"/>
          <w14:ligatures w14:val="none"/>
        </w:rPr>
        <w:t>まし</w:t>
      </w:r>
      <w:r w:rsidR="004A2E88" w:rsidRPr="004A2E88">
        <w:rPr>
          <w:rFonts w:ascii="ＭＳ 明朝" w:eastAsia="ＭＳ 明朝" w:hAnsi="ＭＳ 明朝" w:cs="ＭＳ Ｐゴシック"/>
          <w:kern w:val="0"/>
          <w:szCs w:val="21"/>
          <w:lang w:val="en-US" w:eastAsia="ja-JP"/>
          <w14:ligatures w14:val="none"/>
        </w:rPr>
        <w:t>た。</w:t>
      </w:r>
    </w:p>
    <w:p w14:paraId="2B5A9984" w14:textId="5FB30FAB" w:rsidR="004A2E88" w:rsidRPr="004A2E88" w:rsidRDefault="004A2E88" w:rsidP="00706129">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4A2E88">
        <w:rPr>
          <w:rFonts w:ascii="ＭＳ 明朝" w:eastAsia="ＭＳ 明朝" w:hAnsi="ＭＳ 明朝" w:cs="ＭＳ Ｐゴシック"/>
          <w:kern w:val="0"/>
          <w:szCs w:val="21"/>
          <w:lang w:val="en-US" w:eastAsia="ja-JP"/>
          <w14:ligatures w14:val="none"/>
        </w:rPr>
        <w:t>イタリアは、高齢者の人権（HROPs）に関する</w:t>
      </w:r>
      <w:r w:rsidR="00CB3335">
        <w:rPr>
          <w:rFonts w:ascii="ＭＳ 明朝" w:eastAsia="ＭＳ 明朝" w:hAnsi="ＭＳ 明朝" w:cs="ＭＳ Ｐゴシック" w:hint="eastAsia"/>
          <w:kern w:val="0"/>
          <w:szCs w:val="21"/>
          <w:lang w:val="en-US" w:eastAsia="ja-JP"/>
          <w14:ligatures w14:val="none"/>
        </w:rPr>
        <w:t>友好国</w:t>
      </w:r>
      <w:r w:rsidR="001213A4">
        <w:rPr>
          <w:rFonts w:ascii="ＭＳ 明朝" w:eastAsia="ＭＳ 明朝" w:hAnsi="ＭＳ 明朝" w:cs="ＭＳ Ｐゴシック" w:hint="eastAsia"/>
          <w:kern w:val="0"/>
          <w:szCs w:val="21"/>
          <w:lang w:val="en-US" w:eastAsia="ja-JP"/>
          <w14:ligatures w14:val="none"/>
        </w:rPr>
        <w:t>グループ</w:t>
      </w:r>
      <w:r w:rsidRPr="004A2E88">
        <w:rPr>
          <w:rFonts w:ascii="ＭＳ 明朝" w:eastAsia="ＭＳ 明朝" w:hAnsi="ＭＳ 明朝" w:cs="ＭＳ Ｐゴシック"/>
          <w:kern w:val="0"/>
          <w:szCs w:val="21"/>
          <w:lang w:val="en-US" w:eastAsia="ja-JP"/>
          <w14:ligatures w14:val="none"/>
        </w:rPr>
        <w:t>（GoF</w:t>
      </w:r>
      <w:r w:rsidR="001213A4">
        <w:rPr>
          <w:rFonts w:ascii="ＭＳ 明朝" w:eastAsia="ＭＳ 明朝" w:hAnsi="ＭＳ 明朝" w:cs="ＭＳ Ｐゴシック" w:hint="eastAsia"/>
          <w:kern w:val="0"/>
          <w:szCs w:val="21"/>
          <w:lang w:val="en-US" w:eastAsia="ja-JP"/>
          <w14:ligatures w14:val="none"/>
        </w:rPr>
        <w:t>, Group of Friends</w:t>
      </w:r>
      <w:r w:rsidRPr="004A2E88">
        <w:rPr>
          <w:rFonts w:ascii="ＭＳ 明朝" w:eastAsia="ＭＳ 明朝" w:hAnsi="ＭＳ 明朝" w:cs="ＭＳ Ｐゴシック"/>
          <w:kern w:val="0"/>
          <w:szCs w:val="21"/>
          <w:lang w:val="en-US" w:eastAsia="ja-JP"/>
          <w14:ligatures w14:val="none"/>
        </w:rPr>
        <w:t>）のメンバーであり、本日</w:t>
      </w:r>
      <w:r w:rsidR="004069A9">
        <w:rPr>
          <w:rFonts w:ascii="ＭＳ 明朝" w:eastAsia="ＭＳ 明朝" w:hAnsi="ＭＳ 明朝" w:cs="ＭＳ Ｐゴシック"/>
          <w:kern w:val="0"/>
          <w:szCs w:val="21"/>
          <w:lang w:val="en-US" w:eastAsia="ja-JP"/>
          <w14:ligatures w14:val="none"/>
        </w:rPr>
        <w:t>私たち</w:t>
      </w:r>
      <w:r w:rsidRPr="004A2E88">
        <w:rPr>
          <w:rFonts w:ascii="ＭＳ 明朝" w:eastAsia="ＭＳ 明朝" w:hAnsi="ＭＳ 明朝" w:cs="ＭＳ Ｐゴシック"/>
          <w:kern w:val="0"/>
          <w:szCs w:val="21"/>
          <w:lang w:val="en-US" w:eastAsia="ja-JP"/>
          <w14:ligatures w14:val="none"/>
        </w:rPr>
        <w:t>がここに集まる根拠となった人権理事会（HRC）決議</w:t>
      </w:r>
      <w:r w:rsidR="00CB3335">
        <w:rPr>
          <w:rFonts w:ascii="ＭＳ 明朝" w:eastAsia="ＭＳ 明朝" w:hAnsi="ＭＳ 明朝" w:cs="ＭＳ Ｐゴシック" w:hint="eastAsia"/>
          <w:kern w:val="0"/>
          <w:szCs w:val="21"/>
          <w:lang w:val="en-US" w:eastAsia="ja-JP"/>
          <w14:ligatures w14:val="none"/>
        </w:rPr>
        <w:t>（訳注2025年4月4日理事会決議58‐13）</w:t>
      </w:r>
      <w:r w:rsidRPr="004A2E88">
        <w:rPr>
          <w:rFonts w:ascii="ＭＳ 明朝" w:eastAsia="ＭＳ 明朝" w:hAnsi="ＭＳ 明朝" w:cs="ＭＳ Ｐゴシック"/>
          <w:kern w:val="0"/>
          <w:szCs w:val="21"/>
          <w:lang w:val="en-US" w:eastAsia="ja-JP"/>
          <w14:ligatures w14:val="none"/>
        </w:rPr>
        <w:t>の初期共同提案国</w:t>
      </w:r>
      <w:r w:rsidR="00706129" w:rsidRPr="00FC294C">
        <w:rPr>
          <w:rFonts w:ascii="ＭＳ 明朝" w:eastAsia="ＭＳ 明朝" w:hAnsi="ＭＳ 明朝" w:cs="ＭＳ Ｐゴシック"/>
          <w:kern w:val="0"/>
          <w:szCs w:val="21"/>
          <w:lang w:val="en-US" w:eastAsia="ja-JP"/>
          <w14:ligatures w14:val="none"/>
        </w:rPr>
        <w:t>です</w:t>
      </w:r>
      <w:r w:rsidRPr="004A2E88">
        <w:rPr>
          <w:rFonts w:ascii="ＭＳ 明朝" w:eastAsia="ＭＳ 明朝" w:hAnsi="ＭＳ 明朝" w:cs="ＭＳ Ｐゴシック"/>
          <w:kern w:val="0"/>
          <w:szCs w:val="21"/>
          <w:lang w:val="en-US" w:eastAsia="ja-JP"/>
          <w14:ligatures w14:val="none"/>
        </w:rPr>
        <w:t>。</w:t>
      </w:r>
    </w:p>
    <w:p w14:paraId="6105E6CC" w14:textId="0DAC593F" w:rsidR="004A2E88" w:rsidRPr="004A2E88" w:rsidRDefault="004A2E88" w:rsidP="00706129">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4A2E88">
        <w:rPr>
          <w:rFonts w:ascii="ＭＳ 明朝" w:eastAsia="ＭＳ 明朝" w:hAnsi="ＭＳ 明朝" w:cs="ＭＳ Ｐゴシック"/>
          <w:kern w:val="0"/>
          <w:szCs w:val="21"/>
          <w:lang w:val="en-US" w:eastAsia="ja-JP"/>
          <w14:ligatures w14:val="none"/>
        </w:rPr>
        <w:t>この支持は、今日や前回の</w:t>
      </w:r>
      <w:r w:rsidR="001213A4">
        <w:rPr>
          <w:rFonts w:ascii="ＭＳ 明朝" w:eastAsia="ＭＳ 明朝" w:hAnsi="ＭＳ 明朝" w:cs="ＭＳ Ｐゴシック" w:hint="eastAsia"/>
          <w:kern w:val="0"/>
          <w:szCs w:val="21"/>
          <w:lang w:val="en-US" w:eastAsia="ja-JP"/>
          <w14:ligatures w14:val="none"/>
        </w:rPr>
        <w:t>人権理事会</w:t>
      </w:r>
      <w:r w:rsidRPr="004A2E88">
        <w:rPr>
          <w:rFonts w:ascii="ＭＳ 明朝" w:eastAsia="ＭＳ 明朝" w:hAnsi="ＭＳ 明朝" w:cs="ＭＳ Ｐゴシック"/>
          <w:kern w:val="0"/>
          <w:szCs w:val="21"/>
          <w:lang w:val="en-US" w:eastAsia="ja-JP"/>
          <w14:ligatures w14:val="none"/>
        </w:rPr>
        <w:t>会期から始まったものでは</w:t>
      </w:r>
      <w:r w:rsidR="00706129" w:rsidRPr="00FC294C">
        <w:rPr>
          <w:rFonts w:ascii="ＭＳ 明朝" w:eastAsia="ＭＳ 明朝" w:hAnsi="ＭＳ 明朝" w:cs="ＭＳ Ｐゴシック" w:hint="eastAsia"/>
          <w:kern w:val="0"/>
          <w:szCs w:val="21"/>
          <w:lang w:val="en-US" w:eastAsia="ja-JP"/>
          <w14:ligatures w14:val="none"/>
        </w:rPr>
        <w:t>ありません</w:t>
      </w:r>
      <w:r w:rsidRPr="004A2E88">
        <w:rPr>
          <w:rFonts w:ascii="ＭＳ 明朝" w:eastAsia="ＭＳ 明朝" w:hAnsi="ＭＳ 明朝" w:cs="ＭＳ Ｐゴシック"/>
          <w:kern w:val="0"/>
          <w:szCs w:val="21"/>
          <w:lang w:val="en-US" w:eastAsia="ja-JP"/>
          <w14:ligatures w14:val="none"/>
        </w:rPr>
        <w:t>。これは、国内および国際的なレベルにおいて、すべての人の人権を平等に、かつ差別なく促進し尊重するという、長年にわたる取り組みの自然な発展</w:t>
      </w:r>
      <w:r w:rsidR="00706129" w:rsidRPr="00FC294C">
        <w:rPr>
          <w:rFonts w:ascii="ＭＳ 明朝" w:eastAsia="ＭＳ 明朝" w:hAnsi="ＭＳ 明朝" w:cs="ＭＳ Ｐゴシック"/>
          <w:kern w:val="0"/>
          <w:szCs w:val="21"/>
          <w:lang w:val="en-US" w:eastAsia="ja-JP"/>
          <w14:ligatures w14:val="none"/>
        </w:rPr>
        <w:t>です</w:t>
      </w:r>
      <w:r w:rsidRPr="004A2E88">
        <w:rPr>
          <w:rFonts w:ascii="ＭＳ 明朝" w:eastAsia="ＭＳ 明朝" w:hAnsi="ＭＳ 明朝" w:cs="ＭＳ Ｐゴシック"/>
          <w:kern w:val="0"/>
          <w:szCs w:val="21"/>
          <w:lang w:val="en-US" w:eastAsia="ja-JP"/>
          <w14:ligatures w14:val="none"/>
        </w:rPr>
        <w:t>。</w:t>
      </w:r>
    </w:p>
    <w:p w14:paraId="3A740AE2" w14:textId="4982C170" w:rsidR="004A2E88" w:rsidRPr="004A2E88" w:rsidRDefault="00706129" w:rsidP="004A2E88">
      <w:pPr>
        <w:widowControl/>
        <w:spacing w:before="100" w:beforeAutospacing="1" w:after="100" w:afterAutospacing="1"/>
        <w:jc w:val="left"/>
        <w:rPr>
          <w:rFonts w:ascii="ＭＳ 明朝" w:eastAsia="ＭＳ 明朝" w:hAnsi="ＭＳ 明朝" w:cs="ＭＳ Ｐゴシック"/>
          <w:kern w:val="0"/>
          <w:szCs w:val="21"/>
          <w:lang w:val="en-US" w:eastAsia="ja-JP"/>
          <w14:ligatures w14:val="none"/>
        </w:rPr>
      </w:pPr>
      <w:r w:rsidRPr="00FC294C">
        <w:rPr>
          <w:rFonts w:ascii="ＭＳ 明朝" w:eastAsia="ＭＳ 明朝" w:hAnsi="ＭＳ 明朝" w:cs="ＭＳ Ｐゴシック" w:hint="eastAsia"/>
          <w:kern w:val="0"/>
          <w:szCs w:val="21"/>
          <w:lang w:val="en-US" w:eastAsia="ja-JP"/>
          <w14:ligatures w14:val="none"/>
        </w:rPr>
        <w:t xml:space="preserve">●　</w:t>
      </w:r>
      <w:r w:rsidR="004A2E88" w:rsidRPr="004A2E88">
        <w:rPr>
          <w:rFonts w:ascii="ＭＳ 明朝" w:eastAsia="ＭＳ 明朝" w:hAnsi="ＭＳ 明朝" w:cs="ＭＳ Ｐゴシック"/>
          <w:b/>
          <w:bCs/>
          <w:kern w:val="0"/>
          <w:szCs w:val="21"/>
          <w:lang w:val="en-US" w:eastAsia="ja-JP"/>
          <w14:ligatures w14:val="none"/>
        </w:rPr>
        <w:t>未成年者や若者そして</w:t>
      </w:r>
      <w:r w:rsidR="001213A4" w:rsidRPr="001213A4">
        <w:rPr>
          <w:rFonts w:ascii="ＭＳ 明朝" w:eastAsia="ＭＳ 明朝" w:hAnsi="ＭＳ 明朝" w:cs="ＭＳ Ｐゴシック"/>
          <w:b/>
          <w:bCs/>
          <w:kern w:val="0"/>
          <w:szCs w:val="21"/>
          <w:lang w:val="en-US" w:eastAsia="ja-JP"/>
          <w14:ligatures w14:val="none"/>
        </w:rPr>
        <w:t>障害のある人</w:t>
      </w:r>
      <w:r w:rsidR="004A2E88" w:rsidRPr="004A2E88">
        <w:rPr>
          <w:rFonts w:ascii="ＭＳ 明朝" w:eastAsia="ＭＳ 明朝" w:hAnsi="ＭＳ 明朝" w:cs="ＭＳ Ｐゴシック"/>
          <w:kern w:val="0"/>
          <w:szCs w:val="21"/>
          <w:lang w:val="en-US" w:eastAsia="ja-JP"/>
          <w14:ligatures w14:val="none"/>
        </w:rPr>
        <w:t>が社会の貴重な構成員であり、社会</w:t>
      </w:r>
      <w:r w:rsidR="001213A4">
        <w:rPr>
          <w:rFonts w:ascii="ＭＳ 明朝" w:eastAsia="ＭＳ 明朝" w:hAnsi="ＭＳ 明朝" w:cs="ＭＳ Ｐゴシック" w:hint="eastAsia"/>
          <w:kern w:val="0"/>
          <w:szCs w:val="21"/>
          <w:lang w:val="en-US" w:eastAsia="ja-JP"/>
          <w14:ligatures w14:val="none"/>
        </w:rPr>
        <w:t>で</w:t>
      </w:r>
      <w:r w:rsidR="004A2E88" w:rsidRPr="004A2E88">
        <w:rPr>
          <w:rFonts w:ascii="ＭＳ 明朝" w:eastAsia="ＭＳ 明朝" w:hAnsi="ＭＳ 明朝" w:cs="ＭＳ Ｐゴシック"/>
          <w:kern w:val="0"/>
          <w:szCs w:val="21"/>
          <w:lang w:val="en-US" w:eastAsia="ja-JP"/>
          <w14:ligatures w14:val="none"/>
        </w:rPr>
        <w:t>積極的な役割を果たしている</w:t>
      </w:r>
      <w:r w:rsidR="001213A4">
        <w:rPr>
          <w:rFonts w:ascii="ＭＳ 明朝" w:eastAsia="ＭＳ 明朝" w:hAnsi="ＭＳ 明朝" w:cs="ＭＳ Ｐゴシック" w:hint="eastAsia"/>
          <w:kern w:val="0"/>
          <w:szCs w:val="21"/>
          <w:lang w:val="en-US" w:eastAsia="ja-JP"/>
          <w14:ligatures w14:val="none"/>
        </w:rPr>
        <w:t>よう</w:t>
      </w:r>
      <w:r w:rsidR="004A2E88" w:rsidRPr="004A2E88">
        <w:rPr>
          <w:rFonts w:ascii="ＭＳ 明朝" w:eastAsia="ＭＳ 明朝" w:hAnsi="ＭＳ 明朝" w:cs="ＭＳ Ｐゴシック"/>
          <w:kern w:val="0"/>
          <w:szCs w:val="21"/>
          <w:lang w:val="en-US" w:eastAsia="ja-JP"/>
          <w14:ligatures w14:val="none"/>
        </w:rPr>
        <w:t>に、</w:t>
      </w:r>
      <w:r w:rsidR="004A2E88" w:rsidRPr="004A2E88">
        <w:rPr>
          <w:rFonts w:ascii="ＭＳ 明朝" w:eastAsia="ＭＳ 明朝" w:hAnsi="ＭＳ 明朝" w:cs="ＭＳ Ｐゴシック"/>
          <w:b/>
          <w:bCs/>
          <w:kern w:val="0"/>
          <w:szCs w:val="21"/>
          <w:lang w:val="en-US" w:eastAsia="ja-JP"/>
          <w14:ligatures w14:val="none"/>
        </w:rPr>
        <w:t>高齢者</w:t>
      </w:r>
      <w:r w:rsidR="004A2E88" w:rsidRPr="004A2E88">
        <w:rPr>
          <w:rFonts w:ascii="ＭＳ 明朝" w:eastAsia="ＭＳ 明朝" w:hAnsi="ＭＳ 明朝" w:cs="ＭＳ Ｐゴシック"/>
          <w:kern w:val="0"/>
          <w:szCs w:val="21"/>
          <w:lang w:val="en-US" w:eastAsia="ja-JP"/>
          <w14:ligatures w14:val="none"/>
        </w:rPr>
        <w:t>も</w:t>
      </w:r>
      <w:r w:rsidR="001213A4">
        <w:rPr>
          <w:rFonts w:ascii="ＭＳ 明朝" w:eastAsia="ＭＳ 明朝" w:hAnsi="ＭＳ 明朝" w:cs="ＭＳ Ｐゴシック" w:hint="eastAsia"/>
          <w:kern w:val="0"/>
          <w:szCs w:val="21"/>
          <w:lang w:val="en-US" w:eastAsia="ja-JP"/>
          <w14:ligatures w14:val="none"/>
        </w:rPr>
        <w:t>同じ</w:t>
      </w:r>
      <w:r w:rsidRPr="00FC294C">
        <w:rPr>
          <w:rFonts w:ascii="ＭＳ 明朝" w:eastAsia="ＭＳ 明朝" w:hAnsi="ＭＳ 明朝" w:cs="ＭＳ Ｐゴシック"/>
          <w:kern w:val="0"/>
          <w:szCs w:val="21"/>
          <w:lang w:val="en-US" w:eastAsia="ja-JP"/>
          <w14:ligatures w14:val="none"/>
        </w:rPr>
        <w:t>です</w:t>
      </w:r>
      <w:r w:rsidR="004A2E88" w:rsidRPr="004A2E88">
        <w:rPr>
          <w:rFonts w:ascii="ＭＳ 明朝" w:eastAsia="ＭＳ 明朝" w:hAnsi="ＭＳ 明朝" w:cs="ＭＳ Ｐゴシック"/>
          <w:kern w:val="0"/>
          <w:szCs w:val="21"/>
          <w:lang w:val="en-US" w:eastAsia="ja-JP"/>
          <w14:ligatures w14:val="none"/>
        </w:rPr>
        <w:t>。</w:t>
      </w:r>
    </w:p>
    <w:p w14:paraId="10D253BA" w14:textId="568E8DE5" w:rsidR="004A2E88" w:rsidRPr="004A2E88" w:rsidRDefault="004A2E88" w:rsidP="00706129">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4A2E88">
        <w:rPr>
          <w:rFonts w:ascii="ＭＳ 明朝" w:eastAsia="ＭＳ 明朝" w:hAnsi="ＭＳ 明朝" w:cs="ＭＳ Ｐゴシック"/>
          <w:kern w:val="0"/>
          <w:szCs w:val="21"/>
          <w:lang w:val="en-US" w:eastAsia="ja-JP"/>
          <w14:ligatures w14:val="none"/>
        </w:rPr>
        <w:t>人口の高齢化は、21世紀における最も重要な世界</w:t>
      </w:r>
      <w:r w:rsidR="001213A4">
        <w:rPr>
          <w:rFonts w:ascii="ＭＳ 明朝" w:eastAsia="ＭＳ 明朝" w:hAnsi="ＭＳ 明朝" w:cs="ＭＳ Ｐゴシック" w:hint="eastAsia"/>
          <w:kern w:val="0"/>
          <w:szCs w:val="21"/>
          <w:lang w:val="en-US" w:eastAsia="ja-JP"/>
          <w14:ligatures w14:val="none"/>
        </w:rPr>
        <w:t>の動き</w:t>
      </w:r>
      <w:r w:rsidRPr="004A2E88">
        <w:rPr>
          <w:rFonts w:ascii="ＭＳ 明朝" w:eastAsia="ＭＳ 明朝" w:hAnsi="ＭＳ 明朝" w:cs="ＭＳ Ｐゴシック"/>
          <w:kern w:val="0"/>
          <w:szCs w:val="21"/>
          <w:lang w:val="en-US" w:eastAsia="ja-JP"/>
          <w14:ligatures w14:val="none"/>
        </w:rPr>
        <w:t>の一つ</w:t>
      </w:r>
      <w:r w:rsidR="00706129" w:rsidRPr="00FC294C">
        <w:rPr>
          <w:rFonts w:ascii="ＭＳ 明朝" w:eastAsia="ＭＳ 明朝" w:hAnsi="ＭＳ 明朝" w:cs="ＭＳ Ｐゴシック"/>
          <w:kern w:val="0"/>
          <w:szCs w:val="21"/>
          <w:lang w:val="en-US" w:eastAsia="ja-JP"/>
          <w14:ligatures w14:val="none"/>
        </w:rPr>
        <w:t>です</w:t>
      </w:r>
      <w:r w:rsidRPr="004A2E88">
        <w:rPr>
          <w:rFonts w:ascii="ＭＳ 明朝" w:eastAsia="ＭＳ 明朝" w:hAnsi="ＭＳ 明朝" w:cs="ＭＳ Ｐゴシック"/>
          <w:kern w:val="0"/>
          <w:szCs w:val="21"/>
          <w:lang w:val="en-US" w:eastAsia="ja-JP"/>
          <w14:ligatures w14:val="none"/>
        </w:rPr>
        <w:t>。したがって、緊急事態を含むあらゆる状況において、高齢者の権利と尊厳を保障する</w:t>
      </w:r>
      <w:r w:rsidRPr="004A2E88">
        <w:rPr>
          <w:rFonts w:ascii="ＭＳ 明朝" w:eastAsia="ＭＳ 明朝" w:hAnsi="ＭＳ 明朝" w:cs="ＭＳ Ｐゴシック"/>
          <w:b/>
          <w:bCs/>
          <w:kern w:val="0"/>
          <w:szCs w:val="21"/>
          <w:u w:val="single"/>
          <w:lang w:val="en-US" w:eastAsia="ja-JP"/>
          <w14:ligatures w14:val="none"/>
        </w:rPr>
        <w:t>包摂的な社会</w:t>
      </w:r>
      <w:r w:rsidRPr="004A2E88">
        <w:rPr>
          <w:rFonts w:ascii="ＭＳ 明朝" w:eastAsia="ＭＳ 明朝" w:hAnsi="ＭＳ 明朝" w:cs="ＭＳ Ｐゴシック"/>
          <w:kern w:val="0"/>
          <w:szCs w:val="21"/>
          <w:lang w:val="en-US" w:eastAsia="ja-JP"/>
          <w14:ligatures w14:val="none"/>
        </w:rPr>
        <w:t>を構築することが急務となってい</w:t>
      </w:r>
      <w:r w:rsidR="00706129" w:rsidRPr="00FC294C">
        <w:rPr>
          <w:rFonts w:ascii="ＭＳ 明朝" w:eastAsia="ＭＳ 明朝" w:hAnsi="ＭＳ 明朝" w:cs="ＭＳ Ｐゴシック" w:hint="eastAsia"/>
          <w:kern w:val="0"/>
          <w:szCs w:val="21"/>
          <w:lang w:val="en-US" w:eastAsia="ja-JP"/>
          <w14:ligatures w14:val="none"/>
        </w:rPr>
        <w:t>ます</w:t>
      </w:r>
      <w:r w:rsidRPr="004A2E88">
        <w:rPr>
          <w:rFonts w:ascii="ＭＳ 明朝" w:eastAsia="ＭＳ 明朝" w:hAnsi="ＭＳ 明朝" w:cs="ＭＳ Ｐゴシック"/>
          <w:kern w:val="0"/>
          <w:szCs w:val="21"/>
          <w:lang w:val="en-US" w:eastAsia="ja-JP"/>
          <w14:ligatures w14:val="none"/>
        </w:rPr>
        <w:t>。</w:t>
      </w:r>
    </w:p>
    <w:p w14:paraId="665EC32B" w14:textId="35E65E43" w:rsidR="004A2E88" w:rsidRPr="004A2E88" w:rsidRDefault="004A2E88" w:rsidP="00706129">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4A2E88">
        <w:rPr>
          <w:rFonts w:ascii="ＭＳ 明朝" w:eastAsia="ＭＳ 明朝" w:hAnsi="ＭＳ 明朝" w:cs="ＭＳ Ｐゴシック"/>
          <w:kern w:val="0"/>
          <w:szCs w:val="21"/>
          <w:lang w:val="en-US" w:eastAsia="ja-JP"/>
          <w14:ligatures w14:val="none"/>
        </w:rPr>
        <w:t>既存の国際人権枠組みに基づき、国連欧州経済委員会（UNECE）が採択した「あらゆる年齢層のための持続可能な世界：生涯にわたる連帯と機会均等のための協力」と題する</w:t>
      </w:r>
      <w:r w:rsidRPr="004A2E88">
        <w:rPr>
          <w:rFonts w:ascii="ＭＳ 明朝" w:eastAsia="ＭＳ 明朝" w:hAnsi="ＭＳ 明朝" w:cs="ＭＳ Ｐゴシック"/>
          <w:b/>
          <w:bCs/>
          <w:kern w:val="0"/>
          <w:szCs w:val="21"/>
          <w:lang w:val="en-US" w:eastAsia="ja-JP"/>
          <w14:ligatures w14:val="none"/>
        </w:rPr>
        <w:t>2022年ローマ閣僚宣言</w:t>
      </w:r>
      <w:r w:rsidRPr="004A2E88">
        <w:rPr>
          <w:rFonts w:ascii="ＭＳ 明朝" w:eastAsia="ＭＳ 明朝" w:hAnsi="ＭＳ 明朝" w:cs="ＭＳ Ｐゴシック"/>
          <w:kern w:val="0"/>
          <w:szCs w:val="21"/>
          <w:lang w:val="en-US" w:eastAsia="ja-JP"/>
          <w14:ligatures w14:val="none"/>
        </w:rPr>
        <w:t>は、世代間の連帯と</w:t>
      </w:r>
      <w:r w:rsidRPr="004A2E88">
        <w:rPr>
          <w:rFonts w:ascii="ＭＳ 明朝" w:eastAsia="ＭＳ 明朝" w:hAnsi="ＭＳ 明朝" w:cs="ＭＳ Ｐゴシック"/>
          <w:b/>
          <w:bCs/>
          <w:kern w:val="0"/>
          <w:szCs w:val="21"/>
          <w:u w:val="single"/>
          <w:lang w:val="en-US" w:eastAsia="ja-JP"/>
          <w14:ligatures w14:val="none"/>
        </w:rPr>
        <w:t>あらゆる年齢層</w:t>
      </w:r>
      <w:r w:rsidRPr="004A2E88">
        <w:rPr>
          <w:rFonts w:ascii="ＭＳ 明朝" w:eastAsia="ＭＳ 明朝" w:hAnsi="ＭＳ 明朝" w:cs="ＭＳ Ｐゴシック"/>
          <w:kern w:val="0"/>
          <w:szCs w:val="21"/>
          <w:lang w:val="en-US" w:eastAsia="ja-JP"/>
          <w14:ligatures w14:val="none"/>
        </w:rPr>
        <w:t>の人の機会均等を促進する法的・政策的枠組みの強化を求めてい</w:t>
      </w:r>
      <w:r w:rsidR="00706129" w:rsidRPr="00FC294C">
        <w:rPr>
          <w:rFonts w:ascii="ＭＳ 明朝" w:eastAsia="ＭＳ 明朝" w:hAnsi="ＭＳ 明朝" w:cs="ＭＳ Ｐゴシック" w:hint="eastAsia"/>
          <w:kern w:val="0"/>
          <w:szCs w:val="21"/>
          <w:lang w:val="en-US" w:eastAsia="ja-JP"/>
          <w14:ligatures w14:val="none"/>
        </w:rPr>
        <w:t>ます</w:t>
      </w:r>
      <w:r w:rsidRPr="004A2E88">
        <w:rPr>
          <w:rFonts w:ascii="ＭＳ 明朝" w:eastAsia="ＭＳ 明朝" w:hAnsi="ＭＳ 明朝" w:cs="ＭＳ Ｐゴシック"/>
          <w:kern w:val="0"/>
          <w:szCs w:val="21"/>
          <w:lang w:val="en-US" w:eastAsia="ja-JP"/>
          <w14:ligatures w14:val="none"/>
        </w:rPr>
        <w:t>。</w:t>
      </w:r>
    </w:p>
    <w:p w14:paraId="5C7244A0" w14:textId="6FDE0CEE" w:rsidR="004A2E88" w:rsidRPr="004A2E88" w:rsidRDefault="00706129" w:rsidP="004A2E88">
      <w:pPr>
        <w:widowControl/>
        <w:spacing w:before="100" w:beforeAutospacing="1" w:after="100" w:afterAutospacing="1"/>
        <w:jc w:val="left"/>
        <w:rPr>
          <w:rFonts w:ascii="ＭＳ 明朝" w:eastAsia="ＭＳ 明朝" w:hAnsi="ＭＳ 明朝" w:cs="ＭＳ Ｐゴシック"/>
          <w:kern w:val="0"/>
          <w:szCs w:val="21"/>
          <w:lang w:val="en-US" w:eastAsia="ja-JP"/>
          <w14:ligatures w14:val="none"/>
        </w:rPr>
      </w:pPr>
      <w:r w:rsidRPr="00FC294C">
        <w:rPr>
          <w:rFonts w:ascii="ＭＳ 明朝" w:eastAsia="ＭＳ 明朝" w:hAnsi="ＭＳ 明朝" w:cs="ＭＳ Ｐゴシック" w:hint="eastAsia"/>
          <w:kern w:val="0"/>
          <w:szCs w:val="21"/>
          <w:lang w:val="en-US" w:eastAsia="ja-JP"/>
          <w14:ligatures w14:val="none"/>
        </w:rPr>
        <w:t xml:space="preserve">●　</w:t>
      </w:r>
      <w:r w:rsidR="004A2E88" w:rsidRPr="004A2E88">
        <w:rPr>
          <w:rFonts w:ascii="ＭＳ 明朝" w:eastAsia="ＭＳ 明朝" w:hAnsi="ＭＳ 明朝" w:cs="ＭＳ Ｐゴシック"/>
          <w:kern w:val="0"/>
          <w:szCs w:val="21"/>
          <w:lang w:val="en-US" w:eastAsia="ja-JP"/>
          <w14:ligatures w14:val="none"/>
        </w:rPr>
        <w:t>イタリアは、政府間グループにおいて建設的に取り組み、高齢者を</w:t>
      </w:r>
      <w:r w:rsidR="004A2E88" w:rsidRPr="004A2E88">
        <w:rPr>
          <w:rFonts w:ascii="ＭＳ 明朝" w:eastAsia="ＭＳ 明朝" w:hAnsi="ＭＳ 明朝" w:cs="ＭＳ Ｐゴシック"/>
          <w:b/>
          <w:bCs/>
          <w:kern w:val="0"/>
          <w:szCs w:val="21"/>
          <w:u w:val="single"/>
          <w:lang w:val="en-US" w:eastAsia="ja-JP"/>
          <w14:ligatures w14:val="none"/>
        </w:rPr>
        <w:t>権利の保有者</w:t>
      </w:r>
      <w:r w:rsidR="004A2E88" w:rsidRPr="004A2E88">
        <w:rPr>
          <w:rFonts w:ascii="ＭＳ 明朝" w:eastAsia="ＭＳ 明朝" w:hAnsi="ＭＳ 明朝" w:cs="ＭＳ Ｐゴシック"/>
          <w:kern w:val="0"/>
          <w:szCs w:val="21"/>
          <w:lang w:val="en-US" w:eastAsia="ja-JP"/>
          <w14:ligatures w14:val="none"/>
        </w:rPr>
        <w:t>として認め、差別なく対等な立場で社会・経済・文化・政治生活への</w:t>
      </w:r>
      <w:r w:rsidR="004A2E88" w:rsidRPr="004A2E88">
        <w:rPr>
          <w:rFonts w:ascii="ＭＳ 明朝" w:eastAsia="ＭＳ 明朝" w:hAnsi="ＭＳ 明朝" w:cs="ＭＳ Ｐゴシック"/>
          <w:b/>
          <w:bCs/>
          <w:kern w:val="0"/>
          <w:szCs w:val="21"/>
          <w:u w:val="single"/>
          <w:lang w:val="en-US" w:eastAsia="ja-JP"/>
          <w14:ligatures w14:val="none"/>
        </w:rPr>
        <w:t>完全な参加</w:t>
      </w:r>
      <w:r w:rsidR="004A2E88" w:rsidRPr="004A2E88">
        <w:rPr>
          <w:rFonts w:ascii="ＭＳ 明朝" w:eastAsia="ＭＳ 明朝" w:hAnsi="ＭＳ 明朝" w:cs="ＭＳ Ｐゴシック"/>
          <w:kern w:val="0"/>
          <w:szCs w:val="21"/>
          <w:lang w:val="en-US" w:eastAsia="ja-JP"/>
          <w14:ligatures w14:val="none"/>
        </w:rPr>
        <w:t>を保障する</w:t>
      </w:r>
      <w:r w:rsidR="004069A9">
        <w:rPr>
          <w:rFonts w:ascii="ＭＳ 明朝" w:eastAsia="ＭＳ 明朝" w:hAnsi="ＭＳ 明朝" w:cs="ＭＳ Ｐゴシック" w:hint="eastAsia"/>
          <w:kern w:val="0"/>
          <w:szCs w:val="21"/>
          <w:lang w:val="en-US" w:eastAsia="ja-JP"/>
          <w14:ligatures w14:val="none"/>
        </w:rPr>
        <w:t>総合</w:t>
      </w:r>
      <w:r w:rsidR="004A2E88" w:rsidRPr="004A2E88">
        <w:rPr>
          <w:rFonts w:ascii="ＭＳ 明朝" w:eastAsia="ＭＳ 明朝" w:hAnsi="ＭＳ 明朝" w:cs="ＭＳ Ｐゴシック"/>
          <w:kern w:val="0"/>
          <w:szCs w:val="21"/>
          <w:lang w:val="en-US" w:eastAsia="ja-JP"/>
          <w14:ligatures w14:val="none"/>
        </w:rPr>
        <w:t>的な国際的枠組みを策定</w:t>
      </w:r>
      <w:r w:rsidRPr="00FC294C">
        <w:rPr>
          <w:rFonts w:ascii="ＭＳ 明朝" w:eastAsia="ＭＳ 明朝" w:hAnsi="ＭＳ 明朝" w:cs="ＭＳ Ｐゴシック" w:hint="eastAsia"/>
          <w:kern w:val="0"/>
          <w:szCs w:val="21"/>
          <w:lang w:val="en-US" w:eastAsia="ja-JP"/>
          <w14:ligatures w14:val="none"/>
        </w:rPr>
        <w:t>します</w:t>
      </w:r>
      <w:r w:rsidR="004A2E88" w:rsidRPr="004A2E88">
        <w:rPr>
          <w:rFonts w:ascii="ＭＳ 明朝" w:eastAsia="ＭＳ 明朝" w:hAnsi="ＭＳ 明朝" w:cs="ＭＳ Ｐゴシック"/>
          <w:kern w:val="0"/>
          <w:szCs w:val="21"/>
          <w:lang w:val="en-US" w:eastAsia="ja-JP"/>
          <w14:ligatures w14:val="none"/>
        </w:rPr>
        <w:t>。</w:t>
      </w:r>
    </w:p>
    <w:p w14:paraId="26BF9F91" w14:textId="644C0396" w:rsidR="004A2E88" w:rsidRPr="004A2E88" w:rsidRDefault="004A2E88" w:rsidP="00706129">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4A2E88">
        <w:rPr>
          <w:rFonts w:ascii="ＭＳ 明朝" w:eastAsia="ＭＳ 明朝" w:hAnsi="ＭＳ 明朝" w:cs="ＭＳ Ｐゴシック"/>
          <w:kern w:val="0"/>
          <w:szCs w:val="21"/>
          <w:lang w:val="en-US" w:eastAsia="ja-JP"/>
          <w14:ligatures w14:val="none"/>
        </w:rPr>
        <w:t>イタリアは、</w:t>
      </w:r>
      <w:r w:rsidRPr="004A2E88">
        <w:rPr>
          <w:rFonts w:ascii="ＭＳ 明朝" w:eastAsia="ＭＳ 明朝" w:hAnsi="ＭＳ 明朝" w:cs="ＭＳ Ｐゴシック"/>
          <w:kern w:val="0"/>
          <w:szCs w:val="21"/>
          <w:u w:val="single"/>
          <w:lang w:val="en-US" w:eastAsia="ja-JP"/>
          <w14:ligatures w14:val="none"/>
        </w:rPr>
        <w:t>専用の規範的枠組み</w:t>
      </w:r>
      <w:r w:rsidRPr="004A2E88">
        <w:rPr>
          <w:rFonts w:ascii="ＭＳ 明朝" w:eastAsia="ＭＳ 明朝" w:hAnsi="ＭＳ 明朝" w:cs="ＭＳ Ｐゴシック"/>
          <w:kern w:val="0"/>
          <w:szCs w:val="21"/>
          <w:lang w:val="en-US" w:eastAsia="ja-JP"/>
          <w14:ligatures w14:val="none"/>
        </w:rPr>
        <w:t>が、高齢者のあらゆる人権の促進、保護、および完全な享受の確保に寄与する上で極めて重要であると考えてい</w:t>
      </w:r>
      <w:r w:rsidR="00706129" w:rsidRPr="00FC294C">
        <w:rPr>
          <w:rFonts w:ascii="ＭＳ 明朝" w:eastAsia="ＭＳ 明朝" w:hAnsi="ＭＳ 明朝" w:cs="ＭＳ Ｐゴシック" w:hint="eastAsia"/>
          <w:kern w:val="0"/>
          <w:szCs w:val="21"/>
          <w:lang w:val="en-US" w:eastAsia="ja-JP"/>
          <w14:ligatures w14:val="none"/>
        </w:rPr>
        <w:t>ます</w:t>
      </w:r>
      <w:r w:rsidRPr="004A2E88">
        <w:rPr>
          <w:rFonts w:ascii="ＭＳ 明朝" w:eastAsia="ＭＳ 明朝" w:hAnsi="ＭＳ 明朝" w:cs="ＭＳ Ｐゴシック"/>
          <w:kern w:val="0"/>
          <w:szCs w:val="21"/>
          <w:lang w:val="en-US" w:eastAsia="ja-JP"/>
          <w14:ligatures w14:val="none"/>
        </w:rPr>
        <w:t>。</w:t>
      </w:r>
    </w:p>
    <w:p w14:paraId="205957AB" w14:textId="0B47EAB5" w:rsidR="004A2E88" w:rsidRPr="004A2E88" w:rsidRDefault="004A2E88" w:rsidP="00706129">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4A2E88">
        <w:rPr>
          <w:rFonts w:ascii="ＭＳ 明朝" w:eastAsia="ＭＳ 明朝" w:hAnsi="ＭＳ 明朝" w:cs="ＭＳ Ｐゴシック"/>
          <w:kern w:val="0"/>
          <w:szCs w:val="21"/>
          <w:lang w:val="en-US" w:eastAsia="ja-JP"/>
          <w14:ligatures w14:val="none"/>
        </w:rPr>
        <w:t>高齢期における健康と福祉の向上には、高齢者に支援的で好ましい環境を保障する</w:t>
      </w:r>
      <w:r w:rsidRPr="004A2E88">
        <w:rPr>
          <w:rFonts w:ascii="ＭＳ 明朝" w:eastAsia="ＭＳ 明朝" w:hAnsi="ＭＳ 明朝" w:cs="ＭＳ Ｐゴシック"/>
          <w:b/>
          <w:bCs/>
          <w:kern w:val="0"/>
          <w:szCs w:val="21"/>
          <w:u w:val="single"/>
          <w:lang w:val="en-US" w:eastAsia="ja-JP"/>
          <w14:ligatures w14:val="none"/>
        </w:rPr>
        <w:t>文化的変革も</w:t>
      </w:r>
      <w:r w:rsidR="004069A9" w:rsidRPr="004069A9">
        <w:rPr>
          <w:rFonts w:ascii="ＭＳ 明朝" w:eastAsia="ＭＳ 明朝" w:hAnsi="ＭＳ 明朝" w:cs="ＭＳ Ｐゴシック" w:hint="eastAsia"/>
          <w:b/>
          <w:bCs/>
          <w:kern w:val="0"/>
          <w:szCs w:val="21"/>
          <w:u w:val="single"/>
          <w:lang w:val="en-US" w:eastAsia="ja-JP"/>
          <w14:ligatures w14:val="none"/>
        </w:rPr>
        <w:t>また</w:t>
      </w:r>
      <w:r w:rsidRPr="004A2E88">
        <w:rPr>
          <w:rFonts w:ascii="ＭＳ 明朝" w:eastAsia="ＭＳ 明朝" w:hAnsi="ＭＳ 明朝" w:cs="ＭＳ Ｐゴシック"/>
          <w:kern w:val="0"/>
          <w:szCs w:val="21"/>
          <w:lang w:val="en-US" w:eastAsia="ja-JP"/>
          <w14:ligatures w14:val="none"/>
        </w:rPr>
        <w:t>必要であると</w:t>
      </w:r>
      <w:r w:rsidR="004069A9">
        <w:rPr>
          <w:rFonts w:ascii="ＭＳ 明朝" w:eastAsia="ＭＳ 明朝" w:hAnsi="ＭＳ 明朝" w:cs="ＭＳ Ｐゴシック"/>
          <w:kern w:val="0"/>
          <w:szCs w:val="21"/>
          <w:lang w:val="en-US" w:eastAsia="ja-JP"/>
          <w14:ligatures w14:val="none"/>
        </w:rPr>
        <w:t>私たち</w:t>
      </w:r>
      <w:r w:rsidRPr="004A2E88">
        <w:rPr>
          <w:rFonts w:ascii="ＭＳ 明朝" w:eastAsia="ＭＳ 明朝" w:hAnsi="ＭＳ 明朝" w:cs="ＭＳ Ｐゴシック"/>
          <w:kern w:val="0"/>
          <w:szCs w:val="21"/>
          <w:lang w:val="en-US" w:eastAsia="ja-JP"/>
          <w14:ligatures w14:val="none"/>
        </w:rPr>
        <w:t>は確信してい</w:t>
      </w:r>
      <w:r w:rsidR="00706129" w:rsidRPr="00FC294C">
        <w:rPr>
          <w:rFonts w:ascii="ＭＳ 明朝" w:eastAsia="ＭＳ 明朝" w:hAnsi="ＭＳ 明朝" w:cs="ＭＳ Ｐゴシック" w:hint="eastAsia"/>
          <w:kern w:val="0"/>
          <w:szCs w:val="21"/>
          <w:lang w:val="en-US" w:eastAsia="ja-JP"/>
          <w14:ligatures w14:val="none"/>
        </w:rPr>
        <w:t>ます</w:t>
      </w:r>
      <w:r w:rsidRPr="004A2E88">
        <w:rPr>
          <w:rFonts w:ascii="ＭＳ 明朝" w:eastAsia="ＭＳ 明朝" w:hAnsi="ＭＳ 明朝" w:cs="ＭＳ Ｐゴシック"/>
          <w:kern w:val="0"/>
          <w:szCs w:val="21"/>
          <w:lang w:val="en-US" w:eastAsia="ja-JP"/>
          <w14:ligatures w14:val="none"/>
        </w:rPr>
        <w:t>。</w:t>
      </w:r>
    </w:p>
    <w:p w14:paraId="1E84F45E" w14:textId="2B70A687" w:rsidR="004A2E88" w:rsidRPr="004A2E88" w:rsidRDefault="004A2E88" w:rsidP="00706129">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4A2E88">
        <w:rPr>
          <w:rFonts w:ascii="ＭＳ 明朝" w:eastAsia="ＭＳ 明朝" w:hAnsi="ＭＳ 明朝" w:cs="ＭＳ Ｐゴシック"/>
          <w:kern w:val="0"/>
          <w:szCs w:val="21"/>
          <w:lang w:val="en-US" w:eastAsia="ja-JP"/>
          <w14:ligatures w14:val="none"/>
        </w:rPr>
        <w:t>多様な声が聴取され、最終的に結集して成果を</w:t>
      </w:r>
      <w:r w:rsidR="002C569D">
        <w:rPr>
          <w:rFonts w:ascii="ＭＳ 明朝" w:eastAsia="ＭＳ 明朝" w:hAnsi="ＭＳ 明朝" w:cs="ＭＳ Ｐゴシック" w:hint="eastAsia"/>
          <w:kern w:val="0"/>
          <w:szCs w:val="21"/>
          <w:lang w:val="en-US" w:eastAsia="ja-JP"/>
          <w14:ligatures w14:val="none"/>
        </w:rPr>
        <w:t>生む</w:t>
      </w:r>
      <w:r w:rsidRPr="004A2E88">
        <w:rPr>
          <w:rFonts w:ascii="ＭＳ 明朝" w:eastAsia="ＭＳ 明朝" w:hAnsi="ＭＳ 明朝" w:cs="ＭＳ Ｐゴシック"/>
          <w:kern w:val="0"/>
          <w:szCs w:val="21"/>
          <w:lang w:val="en-US" w:eastAsia="ja-JP"/>
          <w14:ligatures w14:val="none"/>
        </w:rPr>
        <w:t>この多国間枠組みにおいて、</w:t>
      </w:r>
      <w:r w:rsidR="004069A9">
        <w:rPr>
          <w:rFonts w:ascii="ＭＳ 明朝" w:eastAsia="ＭＳ 明朝" w:hAnsi="ＭＳ 明朝" w:cs="ＭＳ Ｐゴシック"/>
          <w:kern w:val="0"/>
          <w:szCs w:val="21"/>
          <w:lang w:val="en-US" w:eastAsia="ja-JP"/>
          <w14:ligatures w14:val="none"/>
        </w:rPr>
        <w:t>私たち</w:t>
      </w:r>
      <w:r w:rsidRPr="004A2E88">
        <w:rPr>
          <w:rFonts w:ascii="ＭＳ 明朝" w:eastAsia="ＭＳ 明朝" w:hAnsi="ＭＳ 明朝" w:cs="ＭＳ Ｐゴシック"/>
          <w:kern w:val="0"/>
          <w:szCs w:val="21"/>
          <w:lang w:val="en-US" w:eastAsia="ja-JP"/>
          <w14:ligatures w14:val="none"/>
        </w:rPr>
        <w:t>が本日開始したプロセスは、そのような</w:t>
      </w:r>
      <w:r w:rsidRPr="004A2E88">
        <w:rPr>
          <w:rFonts w:ascii="ＭＳ 明朝" w:eastAsia="ＭＳ 明朝" w:hAnsi="ＭＳ 明朝" w:cs="ＭＳ Ｐゴシック"/>
          <w:kern w:val="0"/>
          <w:szCs w:val="21"/>
          <w:u w:val="single"/>
          <w:lang w:val="en-US" w:eastAsia="ja-JP"/>
          <w14:ligatures w14:val="none"/>
        </w:rPr>
        <w:t>文化的変革</w:t>
      </w:r>
      <w:r w:rsidRPr="004A2E88">
        <w:rPr>
          <w:rFonts w:ascii="ＭＳ 明朝" w:eastAsia="ＭＳ 明朝" w:hAnsi="ＭＳ 明朝" w:cs="ＭＳ Ｐゴシック"/>
          <w:kern w:val="0"/>
          <w:szCs w:val="21"/>
          <w:lang w:val="en-US" w:eastAsia="ja-JP"/>
          <w14:ligatures w14:val="none"/>
        </w:rPr>
        <w:t>を促進するための有意義な一歩</w:t>
      </w:r>
      <w:r w:rsidR="00706129" w:rsidRPr="00FC294C">
        <w:rPr>
          <w:rFonts w:ascii="ＭＳ 明朝" w:eastAsia="ＭＳ 明朝" w:hAnsi="ＭＳ 明朝" w:cs="ＭＳ Ｐゴシック"/>
          <w:kern w:val="0"/>
          <w:szCs w:val="21"/>
          <w:lang w:val="en-US" w:eastAsia="ja-JP"/>
          <w14:ligatures w14:val="none"/>
        </w:rPr>
        <w:t>です</w:t>
      </w:r>
      <w:r w:rsidRPr="004A2E88">
        <w:rPr>
          <w:rFonts w:ascii="ＭＳ 明朝" w:eastAsia="ＭＳ 明朝" w:hAnsi="ＭＳ 明朝" w:cs="ＭＳ Ｐゴシック"/>
          <w:kern w:val="0"/>
          <w:szCs w:val="21"/>
          <w:lang w:val="en-US" w:eastAsia="ja-JP"/>
          <w14:ligatures w14:val="none"/>
        </w:rPr>
        <w:t>。</w:t>
      </w:r>
    </w:p>
    <w:p w14:paraId="10858609" w14:textId="77777777" w:rsidR="000268A3" w:rsidRDefault="000268A3" w:rsidP="000268A3">
      <w:pPr>
        <w:pStyle w:val="Web"/>
        <w:jc w:val="right"/>
        <w:rPr>
          <w:rFonts w:ascii="ＭＳ 明朝" w:eastAsia="ＭＳ 明朝" w:hAnsi="ＭＳ 明朝"/>
        </w:rPr>
      </w:pPr>
      <w:r w:rsidRPr="001C6C39">
        <w:rPr>
          <w:rFonts w:ascii="ＭＳ 明朝" w:eastAsia="ＭＳ 明朝" w:hAnsi="ＭＳ 明朝" w:hint="eastAsia"/>
        </w:rPr>
        <w:t>（翻訳：佐藤久夫、　　　　）</w:t>
      </w:r>
    </w:p>
    <w:p w14:paraId="4B1D8731" w14:textId="77777777" w:rsidR="007A311F" w:rsidRDefault="007A311F">
      <w:pPr>
        <w:rPr>
          <w:lang w:eastAsia="ja-JP"/>
        </w:rPr>
      </w:pPr>
    </w:p>
    <w:p w14:paraId="614A90B5" w14:textId="77777777" w:rsidR="000268A3" w:rsidRDefault="000268A3">
      <w:pPr>
        <w:rPr>
          <w:rFonts w:hint="eastAsia"/>
          <w:lang w:eastAsia="ja-JP"/>
        </w:rPr>
      </w:pPr>
    </w:p>
    <w:p w14:paraId="5A27F5A0" w14:textId="77777777" w:rsidR="004A2E88" w:rsidRDefault="004A2E88" w:rsidP="004A2E88">
      <w:pPr>
        <w:ind w:left="357" w:hanging="357"/>
        <w:jc w:val="center"/>
        <w:rPr>
          <w:rFonts w:ascii="Times New Roman" w:hAnsi="Times New Roman" w:cs="Times New Roman"/>
          <w:b/>
          <w:bCs/>
        </w:rPr>
      </w:pPr>
      <w:r w:rsidRPr="000A1C99">
        <w:rPr>
          <w:rFonts w:ascii="Times New Roman" w:hAnsi="Times New Roman" w:cs="Times New Roman"/>
          <w:b/>
          <w:bCs/>
        </w:rPr>
        <w:lastRenderedPageBreak/>
        <w:t>Organisational Session of the Open-Ended Intergovernmental Working Group on the Human Rights of Older Persons</w:t>
      </w:r>
    </w:p>
    <w:p w14:paraId="4A06DE68" w14:textId="77777777" w:rsidR="004A2E88" w:rsidRDefault="004A2E88" w:rsidP="004A2E88">
      <w:pPr>
        <w:ind w:left="357" w:hanging="357"/>
        <w:jc w:val="center"/>
        <w:rPr>
          <w:rFonts w:ascii="Times New Roman" w:hAnsi="Times New Roman" w:cs="Times New Roman"/>
          <w:b/>
          <w:bCs/>
        </w:rPr>
      </w:pPr>
      <w:r>
        <w:rPr>
          <w:rFonts w:ascii="Times New Roman" w:hAnsi="Times New Roman" w:cs="Times New Roman"/>
          <w:b/>
          <w:bCs/>
        </w:rPr>
        <w:t>18-20 February 2026</w:t>
      </w:r>
    </w:p>
    <w:p w14:paraId="048F091C" w14:textId="77777777" w:rsidR="004A2E88" w:rsidRPr="000A1C99" w:rsidRDefault="004A2E88" w:rsidP="004A2E88">
      <w:pPr>
        <w:ind w:left="357" w:hanging="357"/>
        <w:jc w:val="center"/>
        <w:rPr>
          <w:rFonts w:ascii="Times New Roman" w:hAnsi="Times New Roman" w:cs="Times New Roman"/>
          <w:b/>
          <w:bCs/>
        </w:rPr>
      </w:pPr>
    </w:p>
    <w:p w14:paraId="7E5D3C07" w14:textId="77777777" w:rsidR="004A2E88" w:rsidRPr="000A1C99" w:rsidRDefault="004A2E88" w:rsidP="004A2E88">
      <w:pPr>
        <w:pStyle w:val="a9"/>
        <w:widowControl/>
        <w:numPr>
          <w:ilvl w:val="0"/>
          <w:numId w:val="1"/>
        </w:numPr>
        <w:spacing w:line="276" w:lineRule="auto"/>
        <w:rPr>
          <w:rFonts w:ascii="Times New Roman" w:hAnsi="Times New Roman" w:cs="Times New Roman"/>
          <w:szCs w:val="24"/>
        </w:rPr>
      </w:pPr>
      <w:r w:rsidRPr="000A1C99">
        <w:rPr>
          <w:rFonts w:ascii="Times New Roman" w:hAnsi="Times New Roman" w:cs="Times New Roman"/>
          <w:szCs w:val="24"/>
        </w:rPr>
        <w:t>Italy has supported the establishment of the Open-Ended Inter-Governmental Working Group (OEIGWG) for the elaboration a Legally Binding Instrument (LBI) on the promotion and protection of the Human Rights of Older Persons (HROPs).</w:t>
      </w:r>
    </w:p>
    <w:p w14:paraId="59D4D5F9" w14:textId="77777777" w:rsidR="004A2E88" w:rsidRPr="000A1C99" w:rsidRDefault="004A2E88" w:rsidP="004A2E88">
      <w:pPr>
        <w:spacing w:line="276" w:lineRule="auto"/>
        <w:rPr>
          <w:rFonts w:ascii="Times New Roman" w:hAnsi="Times New Roman" w:cs="Times New Roman"/>
          <w:szCs w:val="24"/>
        </w:rPr>
      </w:pPr>
      <w:r w:rsidRPr="000A1C99">
        <w:rPr>
          <w:rFonts w:ascii="Times New Roman" w:hAnsi="Times New Roman" w:cs="Times New Roman"/>
          <w:szCs w:val="24"/>
        </w:rPr>
        <w:t xml:space="preserve">Italy is a member of the GoF on the HROP and early co-sponsor of the HRC resolution on the basis of which we have convened here today. </w:t>
      </w:r>
    </w:p>
    <w:p w14:paraId="55218DFE" w14:textId="77777777" w:rsidR="004A2E88" w:rsidRPr="000A1C99" w:rsidRDefault="004A2E88" w:rsidP="004A2E88">
      <w:pPr>
        <w:spacing w:line="276" w:lineRule="auto"/>
        <w:rPr>
          <w:rFonts w:ascii="Times New Roman" w:hAnsi="Times New Roman" w:cs="Times New Roman"/>
          <w:szCs w:val="24"/>
        </w:rPr>
      </w:pPr>
      <w:r w:rsidRPr="000A1C99">
        <w:rPr>
          <w:rFonts w:ascii="Times New Roman" w:hAnsi="Times New Roman" w:cs="Times New Roman"/>
          <w:szCs w:val="24"/>
        </w:rPr>
        <w:t xml:space="preserve">This support did not start today or a the last HRC session. It is the natural development of a long-standing and long-term commitment to promote and respect the human rights for all on an equal basis and without discrimination, both national and internationally. </w:t>
      </w:r>
    </w:p>
    <w:p w14:paraId="03512FA1" w14:textId="77777777" w:rsidR="004A2E88" w:rsidRPr="000A1C99" w:rsidRDefault="004A2E88" w:rsidP="004A2E88">
      <w:pPr>
        <w:spacing w:line="276" w:lineRule="auto"/>
        <w:rPr>
          <w:rFonts w:ascii="Times New Roman" w:hAnsi="Times New Roman" w:cs="Times New Roman"/>
          <w:szCs w:val="24"/>
        </w:rPr>
      </w:pPr>
    </w:p>
    <w:p w14:paraId="5C9CEB9C" w14:textId="77777777" w:rsidR="004A2E88" w:rsidRPr="000A1C99" w:rsidRDefault="004A2E88" w:rsidP="004A2E88">
      <w:pPr>
        <w:pStyle w:val="a9"/>
        <w:widowControl/>
        <w:numPr>
          <w:ilvl w:val="0"/>
          <w:numId w:val="1"/>
        </w:numPr>
        <w:spacing w:line="276" w:lineRule="auto"/>
        <w:rPr>
          <w:rFonts w:ascii="Times New Roman" w:hAnsi="Times New Roman" w:cs="Times New Roman"/>
          <w:szCs w:val="24"/>
        </w:rPr>
      </w:pPr>
      <w:r w:rsidRPr="000A1C99">
        <w:rPr>
          <w:rFonts w:ascii="Times New Roman" w:hAnsi="Times New Roman" w:cs="Times New Roman"/>
          <w:szCs w:val="24"/>
        </w:rPr>
        <w:t xml:space="preserve">In the same way as </w:t>
      </w:r>
      <w:r w:rsidRPr="000A1C99">
        <w:rPr>
          <w:rFonts w:ascii="Times New Roman" w:hAnsi="Times New Roman" w:cs="Times New Roman"/>
          <w:b/>
          <w:bCs/>
          <w:szCs w:val="24"/>
        </w:rPr>
        <w:t>minors and young people</w:t>
      </w:r>
      <w:r w:rsidRPr="000A1C99">
        <w:rPr>
          <w:rFonts w:ascii="Times New Roman" w:hAnsi="Times New Roman" w:cs="Times New Roman"/>
          <w:szCs w:val="24"/>
        </w:rPr>
        <w:t xml:space="preserve"> as well as </w:t>
      </w:r>
      <w:r w:rsidRPr="000A1C99">
        <w:rPr>
          <w:rFonts w:ascii="Times New Roman" w:hAnsi="Times New Roman" w:cs="Times New Roman"/>
          <w:b/>
          <w:bCs/>
          <w:szCs w:val="24"/>
        </w:rPr>
        <w:t>persons with disabilities</w:t>
      </w:r>
      <w:r w:rsidRPr="000A1C99">
        <w:rPr>
          <w:rFonts w:ascii="Times New Roman" w:hAnsi="Times New Roman" w:cs="Times New Roman"/>
          <w:szCs w:val="24"/>
        </w:rPr>
        <w:t xml:space="preserve"> are precious and active components of our societies, so are </w:t>
      </w:r>
      <w:r w:rsidRPr="000A1C99">
        <w:rPr>
          <w:rFonts w:ascii="Times New Roman" w:hAnsi="Times New Roman" w:cs="Times New Roman"/>
          <w:b/>
          <w:bCs/>
          <w:szCs w:val="24"/>
        </w:rPr>
        <w:t>older persons</w:t>
      </w:r>
      <w:r w:rsidRPr="000A1C99">
        <w:rPr>
          <w:rFonts w:ascii="Times New Roman" w:hAnsi="Times New Roman" w:cs="Times New Roman"/>
          <w:szCs w:val="24"/>
        </w:rPr>
        <w:t xml:space="preserve">. </w:t>
      </w:r>
    </w:p>
    <w:p w14:paraId="0B079B64" w14:textId="77777777" w:rsidR="004A2E88" w:rsidRPr="000A1C99" w:rsidRDefault="004A2E88" w:rsidP="004A2E88">
      <w:pPr>
        <w:spacing w:line="276" w:lineRule="auto"/>
        <w:rPr>
          <w:rFonts w:ascii="Times New Roman" w:hAnsi="Times New Roman" w:cs="Times New Roman"/>
          <w:szCs w:val="24"/>
        </w:rPr>
      </w:pPr>
      <w:r w:rsidRPr="000A1C99">
        <w:rPr>
          <w:rFonts w:ascii="Times New Roman" w:hAnsi="Times New Roman" w:cs="Times New Roman"/>
          <w:szCs w:val="24"/>
        </w:rPr>
        <w:t xml:space="preserve">Population aging is one of the most significant global trends of the 21st century. Hence, there is an urgent need to develop </w:t>
      </w:r>
      <w:r w:rsidRPr="000A1C99">
        <w:rPr>
          <w:rFonts w:ascii="Times New Roman" w:hAnsi="Times New Roman" w:cs="Times New Roman"/>
          <w:b/>
          <w:bCs/>
          <w:szCs w:val="24"/>
          <w:u w:val="single"/>
        </w:rPr>
        <w:t>inclusive societies</w:t>
      </w:r>
      <w:r w:rsidRPr="000A1C99">
        <w:rPr>
          <w:rFonts w:ascii="Times New Roman" w:hAnsi="Times New Roman" w:cs="Times New Roman"/>
          <w:szCs w:val="24"/>
        </w:rPr>
        <w:t xml:space="preserve"> that guarantee the rights and dignity of older persons in all contexts, including emergencies situations.</w:t>
      </w:r>
    </w:p>
    <w:p w14:paraId="3DE0FC08" w14:textId="77777777" w:rsidR="004A2E88" w:rsidRPr="000A1C99" w:rsidRDefault="004A2E88" w:rsidP="004A2E88">
      <w:pPr>
        <w:spacing w:line="276" w:lineRule="auto"/>
        <w:rPr>
          <w:rFonts w:ascii="Times New Roman" w:hAnsi="Times New Roman" w:cs="Times New Roman"/>
          <w:szCs w:val="24"/>
        </w:rPr>
      </w:pPr>
      <w:r w:rsidRPr="000A1C99">
        <w:rPr>
          <w:rFonts w:ascii="Times New Roman" w:hAnsi="Times New Roman" w:cs="Times New Roman"/>
          <w:szCs w:val="24"/>
        </w:rPr>
        <w:t xml:space="preserve">Building on the existing international human rights framework, the </w:t>
      </w:r>
      <w:r w:rsidRPr="000A1C99">
        <w:rPr>
          <w:rFonts w:ascii="Times New Roman" w:hAnsi="Times New Roman" w:cs="Times New Roman"/>
          <w:b/>
          <w:bCs/>
          <w:szCs w:val="24"/>
        </w:rPr>
        <w:t>2022 Rome Ministerial Declaration</w:t>
      </w:r>
      <w:r w:rsidRPr="000A1C99">
        <w:rPr>
          <w:rFonts w:ascii="Times New Roman" w:hAnsi="Times New Roman" w:cs="Times New Roman"/>
          <w:szCs w:val="24"/>
        </w:rPr>
        <w:t xml:space="preserve"> – adopted by the United Nations Economic Commission for Europe (UNECE) and titled “A Sustainable World for All Ages: Joining Forces for Solidarity and Equal Opportunities Throughout Life” – calls for strengthened legal and policy frameworks that promote intergenerational solidarity and equal opportunities for people of </w:t>
      </w:r>
      <w:r w:rsidRPr="000A1C99">
        <w:rPr>
          <w:rFonts w:ascii="Times New Roman" w:hAnsi="Times New Roman" w:cs="Times New Roman"/>
          <w:b/>
          <w:bCs/>
          <w:szCs w:val="24"/>
          <w:u w:val="single"/>
        </w:rPr>
        <w:t>all ages</w:t>
      </w:r>
      <w:r w:rsidRPr="000A1C99">
        <w:rPr>
          <w:rFonts w:ascii="Times New Roman" w:hAnsi="Times New Roman" w:cs="Times New Roman"/>
          <w:szCs w:val="24"/>
        </w:rPr>
        <w:t>.</w:t>
      </w:r>
    </w:p>
    <w:p w14:paraId="7B319B4A" w14:textId="77777777" w:rsidR="004A2E88" w:rsidRPr="000A1C99" w:rsidRDefault="004A2E88" w:rsidP="004A2E88">
      <w:pPr>
        <w:spacing w:line="276" w:lineRule="auto"/>
        <w:rPr>
          <w:rFonts w:ascii="Times New Roman" w:hAnsi="Times New Roman" w:cs="Times New Roman"/>
          <w:b/>
          <w:bCs/>
          <w:szCs w:val="24"/>
        </w:rPr>
      </w:pPr>
    </w:p>
    <w:p w14:paraId="391F64AA" w14:textId="77777777" w:rsidR="004A2E88" w:rsidRPr="000A1C99" w:rsidRDefault="004A2E88" w:rsidP="004A2E88">
      <w:pPr>
        <w:pStyle w:val="a9"/>
        <w:widowControl/>
        <w:numPr>
          <w:ilvl w:val="0"/>
          <w:numId w:val="1"/>
        </w:numPr>
        <w:spacing w:line="276" w:lineRule="auto"/>
        <w:rPr>
          <w:rFonts w:ascii="Times New Roman" w:hAnsi="Times New Roman" w:cs="Times New Roman"/>
          <w:szCs w:val="24"/>
        </w:rPr>
      </w:pPr>
      <w:r w:rsidRPr="000A1C99">
        <w:rPr>
          <w:rFonts w:ascii="Times New Roman" w:hAnsi="Times New Roman" w:cs="Times New Roman"/>
          <w:szCs w:val="24"/>
        </w:rPr>
        <w:t xml:space="preserve">Italy will work constructively in the Inter-governmental Group to develop a comprehensive global instrument that recognizes older persons as </w:t>
      </w:r>
      <w:r w:rsidRPr="000A1C99">
        <w:rPr>
          <w:rFonts w:ascii="Times New Roman" w:hAnsi="Times New Roman" w:cs="Times New Roman"/>
          <w:b/>
          <w:bCs/>
          <w:szCs w:val="24"/>
          <w:u w:val="single"/>
        </w:rPr>
        <w:t>rights holders</w:t>
      </w:r>
      <w:r w:rsidRPr="000A1C99">
        <w:rPr>
          <w:rFonts w:ascii="Times New Roman" w:hAnsi="Times New Roman" w:cs="Times New Roman"/>
          <w:szCs w:val="24"/>
        </w:rPr>
        <w:t xml:space="preserve"> and ensure their </w:t>
      </w:r>
      <w:r w:rsidRPr="000A1C99">
        <w:rPr>
          <w:rFonts w:ascii="Times New Roman" w:hAnsi="Times New Roman" w:cs="Times New Roman"/>
          <w:b/>
          <w:bCs/>
          <w:szCs w:val="24"/>
          <w:u w:val="single"/>
        </w:rPr>
        <w:t>full participation</w:t>
      </w:r>
      <w:r w:rsidRPr="000A1C99">
        <w:rPr>
          <w:rFonts w:ascii="Times New Roman" w:hAnsi="Times New Roman" w:cs="Times New Roman"/>
          <w:szCs w:val="24"/>
        </w:rPr>
        <w:t xml:space="preserve"> in social, economic, cultural, and political life on an equal basis and without discrimination.</w:t>
      </w:r>
    </w:p>
    <w:p w14:paraId="04658E20" w14:textId="77777777" w:rsidR="004A2E88" w:rsidRPr="000A1C99" w:rsidRDefault="004A2E88" w:rsidP="004A2E88">
      <w:pPr>
        <w:spacing w:line="276" w:lineRule="auto"/>
        <w:rPr>
          <w:rFonts w:ascii="Times New Roman" w:hAnsi="Times New Roman" w:cs="Times New Roman"/>
          <w:szCs w:val="24"/>
        </w:rPr>
      </w:pPr>
      <w:r w:rsidRPr="000A1C99">
        <w:rPr>
          <w:rFonts w:ascii="Times New Roman" w:hAnsi="Times New Roman" w:cs="Times New Roman"/>
          <w:szCs w:val="24"/>
        </w:rPr>
        <w:t xml:space="preserve">Italy believes that a </w:t>
      </w:r>
      <w:r w:rsidRPr="000A1C99">
        <w:rPr>
          <w:rFonts w:ascii="Times New Roman" w:hAnsi="Times New Roman" w:cs="Times New Roman"/>
          <w:szCs w:val="24"/>
          <w:u w:val="single"/>
        </w:rPr>
        <w:t>dedicated normative framework</w:t>
      </w:r>
      <w:r w:rsidRPr="000A1C99">
        <w:rPr>
          <w:rFonts w:ascii="Times New Roman" w:hAnsi="Times New Roman" w:cs="Times New Roman"/>
          <w:szCs w:val="24"/>
        </w:rPr>
        <w:t xml:space="preserve"> can be instrumental in contributing to promoting, protecting, and ensuring the full enjoyment of all human rights by older persons.</w:t>
      </w:r>
    </w:p>
    <w:p w14:paraId="470A1639" w14:textId="77777777" w:rsidR="004A2E88" w:rsidRPr="000A1C99" w:rsidRDefault="004A2E88" w:rsidP="004A2E88">
      <w:pPr>
        <w:spacing w:line="276" w:lineRule="auto"/>
        <w:rPr>
          <w:rFonts w:ascii="Times New Roman" w:hAnsi="Times New Roman" w:cs="Times New Roman"/>
          <w:szCs w:val="24"/>
        </w:rPr>
      </w:pPr>
      <w:r w:rsidRPr="000A1C99">
        <w:rPr>
          <w:rFonts w:ascii="Times New Roman" w:hAnsi="Times New Roman" w:cs="Times New Roman"/>
          <w:szCs w:val="24"/>
        </w:rPr>
        <w:t xml:space="preserve">We believe that advancing health and well-being into old age </w:t>
      </w:r>
      <w:r w:rsidRPr="000A1C99">
        <w:rPr>
          <w:rFonts w:ascii="Times New Roman" w:hAnsi="Times New Roman" w:cs="Times New Roman"/>
          <w:b/>
          <w:bCs/>
          <w:szCs w:val="24"/>
          <w:u w:val="single"/>
        </w:rPr>
        <w:t>also</w:t>
      </w:r>
      <w:r w:rsidRPr="000A1C99">
        <w:rPr>
          <w:rFonts w:ascii="Times New Roman" w:hAnsi="Times New Roman" w:cs="Times New Roman"/>
          <w:szCs w:val="24"/>
        </w:rPr>
        <w:t xml:space="preserve"> requires a </w:t>
      </w:r>
      <w:r w:rsidRPr="000A1C99">
        <w:rPr>
          <w:rFonts w:ascii="Times New Roman" w:hAnsi="Times New Roman" w:cs="Times New Roman"/>
          <w:b/>
          <w:bCs/>
          <w:szCs w:val="24"/>
          <w:u w:val="single"/>
        </w:rPr>
        <w:t>cultural change</w:t>
      </w:r>
      <w:r w:rsidRPr="000A1C99">
        <w:rPr>
          <w:rFonts w:ascii="Times New Roman" w:hAnsi="Times New Roman" w:cs="Times New Roman"/>
          <w:szCs w:val="24"/>
        </w:rPr>
        <w:t xml:space="preserve">, one that ensures enabling and supportive environments for older persons. </w:t>
      </w:r>
    </w:p>
    <w:p w14:paraId="6903762D" w14:textId="77777777" w:rsidR="004A2E88" w:rsidRPr="000A1C99" w:rsidRDefault="004A2E88" w:rsidP="004A2E88">
      <w:pPr>
        <w:spacing w:line="276" w:lineRule="auto"/>
        <w:rPr>
          <w:rFonts w:ascii="Times New Roman" w:hAnsi="Times New Roman" w:cs="Times New Roman"/>
          <w:szCs w:val="24"/>
        </w:rPr>
      </w:pPr>
      <w:r w:rsidRPr="000A1C99">
        <w:rPr>
          <w:rFonts w:ascii="Times New Roman" w:hAnsi="Times New Roman" w:cs="Times New Roman"/>
          <w:szCs w:val="24"/>
        </w:rPr>
        <w:t xml:space="preserve">The process that we have initiated today in this multilateral setting, where multiple voices are heard and will ultimately converge to shape the outcome – is a meaningful step toward fostering such a </w:t>
      </w:r>
      <w:r w:rsidRPr="000A1C99">
        <w:rPr>
          <w:rFonts w:ascii="Times New Roman" w:hAnsi="Times New Roman" w:cs="Times New Roman"/>
          <w:szCs w:val="24"/>
          <w:u w:val="single"/>
        </w:rPr>
        <w:t>cultural change</w:t>
      </w:r>
      <w:r w:rsidRPr="000A1C99">
        <w:rPr>
          <w:rFonts w:ascii="Times New Roman" w:hAnsi="Times New Roman" w:cs="Times New Roman"/>
          <w:szCs w:val="24"/>
        </w:rPr>
        <w:t xml:space="preserve">. </w:t>
      </w:r>
    </w:p>
    <w:p w14:paraId="2C571EBF" w14:textId="77777777" w:rsidR="007A311F" w:rsidRDefault="007A311F">
      <w:pPr>
        <w:rPr>
          <w:lang w:eastAsia="ja-JP"/>
        </w:rPr>
      </w:pPr>
    </w:p>
    <w:p w14:paraId="226FDF5A" w14:textId="77777777" w:rsidR="007A311F" w:rsidRDefault="007A311F">
      <w:pPr>
        <w:rPr>
          <w:lang w:eastAsia="ja-JP"/>
        </w:rPr>
      </w:pPr>
    </w:p>
    <w:sectPr w:rsidR="007A311F" w:rsidSect="006A05DC">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E674A" w14:textId="77777777" w:rsidR="00E45A75" w:rsidRDefault="00E45A75" w:rsidP="00E45A75">
      <w:r>
        <w:separator/>
      </w:r>
    </w:p>
  </w:endnote>
  <w:endnote w:type="continuationSeparator" w:id="0">
    <w:p w14:paraId="32DC2A9F" w14:textId="77777777" w:rsidR="00E45A75" w:rsidRDefault="00E45A75" w:rsidP="00E4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7921A" w14:textId="77777777" w:rsidR="00E45A75" w:rsidRDefault="00E45A75" w:rsidP="00E45A75">
      <w:r>
        <w:separator/>
      </w:r>
    </w:p>
  </w:footnote>
  <w:footnote w:type="continuationSeparator" w:id="0">
    <w:p w14:paraId="01A88E4E" w14:textId="77777777" w:rsidR="00E45A75" w:rsidRDefault="00E45A75" w:rsidP="00E45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3595B"/>
    <w:multiLevelType w:val="hybridMultilevel"/>
    <w:tmpl w:val="187A4C9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926382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F"/>
    <w:rsid w:val="000268A3"/>
    <w:rsid w:val="000B2AFD"/>
    <w:rsid w:val="001213A4"/>
    <w:rsid w:val="00152B39"/>
    <w:rsid w:val="002C569D"/>
    <w:rsid w:val="003126F0"/>
    <w:rsid w:val="003A6E34"/>
    <w:rsid w:val="004069A9"/>
    <w:rsid w:val="004A2E88"/>
    <w:rsid w:val="00692D7C"/>
    <w:rsid w:val="006A05DC"/>
    <w:rsid w:val="0070471F"/>
    <w:rsid w:val="00706129"/>
    <w:rsid w:val="007A311F"/>
    <w:rsid w:val="00AF582A"/>
    <w:rsid w:val="00B37471"/>
    <w:rsid w:val="00CB3335"/>
    <w:rsid w:val="00D61491"/>
    <w:rsid w:val="00E45A75"/>
    <w:rsid w:val="00FC2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C1B9B7"/>
  <w15:chartTrackingRefBased/>
  <w15:docId w15:val="{54E60814-4C2F-4E8E-9804-9F6C23D0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A311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311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311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A311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311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311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311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311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311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311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311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311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A311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311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311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311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311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311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311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31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11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31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11F"/>
    <w:pPr>
      <w:spacing w:before="160" w:after="160"/>
      <w:jc w:val="center"/>
    </w:pPr>
    <w:rPr>
      <w:i/>
      <w:iCs/>
      <w:color w:val="404040" w:themeColor="text1" w:themeTint="BF"/>
    </w:rPr>
  </w:style>
  <w:style w:type="character" w:customStyle="1" w:styleId="a8">
    <w:name w:val="引用文 (文字)"/>
    <w:basedOn w:val="a0"/>
    <w:link w:val="a7"/>
    <w:uiPriority w:val="29"/>
    <w:rsid w:val="007A311F"/>
    <w:rPr>
      <w:i/>
      <w:iCs/>
      <w:color w:val="404040" w:themeColor="text1" w:themeTint="BF"/>
    </w:rPr>
  </w:style>
  <w:style w:type="paragraph" w:styleId="a9">
    <w:name w:val="List Paragraph"/>
    <w:basedOn w:val="a"/>
    <w:uiPriority w:val="34"/>
    <w:qFormat/>
    <w:rsid w:val="007A311F"/>
    <w:pPr>
      <w:ind w:left="720"/>
      <w:contextualSpacing/>
    </w:pPr>
  </w:style>
  <w:style w:type="character" w:styleId="21">
    <w:name w:val="Intense Emphasis"/>
    <w:basedOn w:val="a0"/>
    <w:uiPriority w:val="21"/>
    <w:qFormat/>
    <w:rsid w:val="007A311F"/>
    <w:rPr>
      <w:i/>
      <w:iCs/>
      <w:color w:val="2F5496" w:themeColor="accent1" w:themeShade="BF"/>
    </w:rPr>
  </w:style>
  <w:style w:type="paragraph" w:styleId="22">
    <w:name w:val="Intense Quote"/>
    <w:basedOn w:val="a"/>
    <w:next w:val="a"/>
    <w:link w:val="23"/>
    <w:uiPriority w:val="30"/>
    <w:qFormat/>
    <w:rsid w:val="007A31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A311F"/>
    <w:rPr>
      <w:i/>
      <w:iCs/>
      <w:color w:val="2F5496" w:themeColor="accent1" w:themeShade="BF"/>
    </w:rPr>
  </w:style>
  <w:style w:type="character" w:styleId="24">
    <w:name w:val="Intense Reference"/>
    <w:basedOn w:val="a0"/>
    <w:uiPriority w:val="32"/>
    <w:qFormat/>
    <w:rsid w:val="007A311F"/>
    <w:rPr>
      <w:b/>
      <w:bCs/>
      <w:smallCaps/>
      <w:color w:val="2F5496" w:themeColor="accent1" w:themeShade="BF"/>
      <w:spacing w:val="5"/>
    </w:rPr>
  </w:style>
  <w:style w:type="paragraph" w:styleId="Web">
    <w:name w:val="Normal (Web)"/>
    <w:basedOn w:val="a"/>
    <w:uiPriority w:val="99"/>
    <w:semiHidden/>
    <w:unhideWhenUsed/>
    <w:rsid w:val="004A2E88"/>
    <w:pPr>
      <w:widowControl/>
      <w:spacing w:before="100" w:beforeAutospacing="1" w:after="100" w:afterAutospacing="1"/>
      <w:jc w:val="left"/>
    </w:pPr>
    <w:rPr>
      <w:rFonts w:ascii="ＭＳ Ｐゴシック" w:eastAsia="ＭＳ Ｐゴシック" w:hAnsi="ＭＳ Ｐゴシック" w:cs="ＭＳ Ｐゴシック"/>
      <w:kern w:val="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2</cp:revision>
  <dcterms:created xsi:type="dcterms:W3CDTF">2026-05-10T03:38:00Z</dcterms:created>
  <dcterms:modified xsi:type="dcterms:W3CDTF">2026-05-10T03:38:00Z</dcterms:modified>
</cp:coreProperties>
</file>