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2EF7" w14:textId="258D8EEC" w:rsidR="00C14C0E" w:rsidRDefault="00C14C0E" w:rsidP="00C67FE2">
      <w:pPr>
        <w:pStyle w:val="Web"/>
        <w:spacing w:after="0" w:afterAutospacing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議題4　対話型討議</w:t>
      </w:r>
    </w:p>
    <w:p w14:paraId="2D9326C5" w14:textId="5F32DCEC" w:rsidR="00C67FE2" w:rsidRPr="00C67FE2" w:rsidRDefault="00C67FE2" w:rsidP="00C67FE2">
      <w:pPr>
        <w:pStyle w:val="Web"/>
        <w:spacing w:after="0" w:afterAutospacing="0"/>
        <w:rPr>
          <w:rFonts w:ascii="BIZ UDPゴシック" w:eastAsia="BIZ UDPゴシック" w:hAnsi="BIZ UDPゴシック"/>
        </w:rPr>
      </w:pPr>
      <w:r w:rsidRPr="00C67FE2">
        <w:rPr>
          <w:rFonts w:ascii="BIZ UDPゴシック" w:eastAsia="BIZ UDPゴシック" w:hAnsi="BIZ UDPゴシック"/>
        </w:rPr>
        <w:t>国際高齢者連盟（IFA）</w:t>
      </w:r>
    </w:p>
    <w:p w14:paraId="5CA7BFA3" w14:textId="6AE1EC00" w:rsidR="00C67FE2" w:rsidRPr="00C67FE2" w:rsidRDefault="00C67FE2" w:rsidP="00C67FE2">
      <w:pPr>
        <w:rPr>
          <w:rFonts w:ascii="Times New Roman" w:eastAsia="ＭＳ 明朝" w:hAnsi="Times New Roman" w:cs="Times New Roman"/>
          <w:b/>
          <w:bCs/>
          <w:sz w:val="21"/>
          <w:szCs w:val="21"/>
        </w:rPr>
      </w:pPr>
      <w:r w:rsidRPr="00C67FE2">
        <w:rPr>
          <w:rFonts w:ascii="Times New Roman" w:eastAsia="ＭＳ 明朝" w:hAnsi="Times New Roman" w:cs="Times New Roman"/>
          <w:b/>
          <w:bCs/>
          <w:sz w:val="21"/>
          <w:szCs w:val="21"/>
        </w:rPr>
        <w:t xml:space="preserve">International Federation on Ageing (IFA) </w:t>
      </w:r>
    </w:p>
    <w:p w14:paraId="0143319B" w14:textId="77777777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議長、ありがとうございます。</w:t>
      </w:r>
    </w:p>
    <w:p w14:paraId="09D2B937" w14:textId="31885773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国際高齢者連盟は、「高齢者の権利</w:t>
      </w:r>
      <w:r w:rsidR="00D67A97">
        <w:rPr>
          <w:rFonts w:ascii="ＭＳ 明朝" w:eastAsia="ＭＳ 明朝" w:hAnsi="ＭＳ 明朝" w:hint="eastAsia"/>
          <w:sz w:val="21"/>
          <w:szCs w:val="21"/>
        </w:rPr>
        <w:t>世界同盟</w:t>
      </w:r>
      <w:r w:rsidRPr="00C67FE2">
        <w:rPr>
          <w:rFonts w:ascii="ＭＳ 明朝" w:eastAsia="ＭＳ 明朝" w:hAnsi="ＭＳ 明朝"/>
          <w:sz w:val="21"/>
          <w:szCs w:val="21"/>
        </w:rPr>
        <w:t>」</w:t>
      </w:r>
      <w:r w:rsidR="00D67A97">
        <w:rPr>
          <w:rFonts w:ascii="ＭＳ 明朝" w:eastAsia="ＭＳ 明朝" w:hAnsi="ＭＳ 明朝" w:hint="eastAsia"/>
          <w:sz w:val="21"/>
          <w:szCs w:val="21"/>
        </w:rPr>
        <w:t>の</w:t>
      </w:r>
      <w:r w:rsidRPr="00C67FE2">
        <w:rPr>
          <w:rFonts w:ascii="ＭＳ 明朝" w:eastAsia="ＭＳ 明朝" w:hAnsi="ＭＳ 明朝"/>
          <w:sz w:val="21"/>
          <w:szCs w:val="21"/>
        </w:rPr>
        <w:t>声明に賛同します。</w:t>
      </w:r>
    </w:p>
    <w:p w14:paraId="74182568" w14:textId="7EC3D77B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この政府間作業部会の設置は、単なる手続き上の進展にとどまりません。現在の国際人権枠組みが、世界中の高齢者が直面している体系的な差別、保護の格差、そして構造的な「見えざる存在」という問題に十分に対処できていないという認識を示</w:t>
      </w:r>
      <w:r w:rsidR="00D67A97">
        <w:rPr>
          <w:rFonts w:ascii="ＭＳ 明朝" w:eastAsia="ＭＳ 明朝" w:hAnsi="ＭＳ 明朝" w:hint="eastAsia"/>
          <w:sz w:val="21"/>
          <w:szCs w:val="21"/>
        </w:rPr>
        <w:t>すものです</w:t>
      </w:r>
      <w:r w:rsidRPr="00C67FE2">
        <w:rPr>
          <w:rFonts w:ascii="ＭＳ 明朝" w:eastAsia="ＭＳ 明朝" w:hAnsi="ＭＳ 明朝"/>
          <w:sz w:val="21"/>
          <w:szCs w:val="21"/>
        </w:rPr>
        <w:t>。</w:t>
      </w:r>
    </w:p>
    <w:p w14:paraId="5D5FF57D" w14:textId="0C42819E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あらゆる地域で人口の高齢化が加速しています。にもかかわらず、高齢者は依然として、法律、政策、そして実務において、年齢に基づく排除に直面し続けています。それは、医療へのアクセス、社会的保護、ディーセント・ワーク（働きがいのある人間らしい仕事）、人道支援、暴力からの保護、そして法の下での平等な認識</w:t>
      </w:r>
      <w:r w:rsidR="00331951">
        <w:rPr>
          <w:rFonts w:ascii="ＭＳ 明朝" w:eastAsia="ＭＳ 明朝" w:hAnsi="ＭＳ 明朝" w:hint="eastAsia"/>
          <w:sz w:val="21"/>
          <w:szCs w:val="21"/>
        </w:rPr>
        <w:t>などの</w:t>
      </w:r>
      <w:r w:rsidRPr="00C67FE2">
        <w:rPr>
          <w:rFonts w:ascii="ＭＳ 明朝" w:eastAsia="ＭＳ 明朝" w:hAnsi="ＭＳ 明朝"/>
          <w:sz w:val="21"/>
          <w:szCs w:val="21"/>
        </w:rPr>
        <w:t>分野においてです。これらは</w:t>
      </w:r>
      <w:r w:rsidR="00331951">
        <w:rPr>
          <w:rFonts w:ascii="ＭＳ 明朝" w:eastAsia="ＭＳ 明朝" w:hAnsi="ＭＳ 明朝" w:hint="eastAsia"/>
          <w:sz w:val="21"/>
          <w:szCs w:val="21"/>
        </w:rPr>
        <w:t>別々の</w:t>
      </w:r>
      <w:r w:rsidRPr="00C67FE2">
        <w:rPr>
          <w:rFonts w:ascii="ＭＳ 明朝" w:eastAsia="ＭＳ 明朝" w:hAnsi="ＭＳ 明朝"/>
          <w:sz w:val="21"/>
          <w:szCs w:val="21"/>
        </w:rPr>
        <w:t>欠陥ではなく、</w:t>
      </w:r>
      <w:r w:rsidR="00331951" w:rsidRPr="00C67FE2">
        <w:rPr>
          <w:rFonts w:ascii="ＭＳ 明朝" w:eastAsia="ＭＳ 明朝" w:hAnsi="ＭＳ 明朝"/>
          <w:sz w:val="21"/>
          <w:szCs w:val="21"/>
        </w:rPr>
        <w:t>規範的な</w:t>
      </w:r>
      <w:r w:rsidR="00331951">
        <w:rPr>
          <w:rFonts w:ascii="ＭＳ 明朝" w:eastAsia="ＭＳ 明朝" w:hAnsi="ＭＳ 明朝" w:hint="eastAsia"/>
          <w:sz w:val="21"/>
          <w:szCs w:val="21"/>
        </w:rPr>
        <w:t>問題が</w:t>
      </w:r>
      <w:r w:rsidR="00331951" w:rsidRPr="00C67FE2">
        <w:rPr>
          <w:rFonts w:ascii="ＭＳ 明朝" w:eastAsia="ＭＳ 明朝" w:hAnsi="ＭＳ 明朝"/>
          <w:sz w:val="21"/>
          <w:szCs w:val="21"/>
        </w:rPr>
        <w:t>露呈し</w:t>
      </w:r>
      <w:r w:rsidR="00331951">
        <w:rPr>
          <w:rFonts w:ascii="ＭＳ 明朝" w:eastAsia="ＭＳ 明朝" w:hAnsi="ＭＳ 明朝" w:hint="eastAsia"/>
          <w:sz w:val="21"/>
          <w:szCs w:val="21"/>
        </w:rPr>
        <w:t>たもの</w:t>
      </w:r>
      <w:r w:rsidR="00331951" w:rsidRPr="00C67FE2">
        <w:rPr>
          <w:rFonts w:ascii="ＭＳ 明朝" w:eastAsia="ＭＳ 明朝" w:hAnsi="ＭＳ 明朝"/>
          <w:sz w:val="21"/>
          <w:szCs w:val="21"/>
        </w:rPr>
        <w:t>です。</w:t>
      </w:r>
      <w:r w:rsidR="00331951">
        <w:rPr>
          <w:rFonts w:ascii="ＭＳ 明朝" w:eastAsia="ＭＳ 明朝" w:hAnsi="ＭＳ 明朝" w:hint="eastAsia"/>
          <w:sz w:val="21"/>
          <w:szCs w:val="21"/>
        </w:rPr>
        <w:t>これへの</w:t>
      </w:r>
      <w:r w:rsidRPr="00C67FE2">
        <w:rPr>
          <w:rFonts w:ascii="ＭＳ 明朝" w:eastAsia="ＭＳ 明朝" w:hAnsi="ＭＳ 明朝"/>
          <w:sz w:val="21"/>
          <w:szCs w:val="21"/>
        </w:rPr>
        <w:t>明確</w:t>
      </w:r>
      <w:r w:rsidR="00331951">
        <w:rPr>
          <w:rFonts w:ascii="ＭＳ 明朝" w:eastAsia="ＭＳ 明朝" w:hAnsi="ＭＳ 明朝" w:hint="eastAsia"/>
          <w:sz w:val="21"/>
          <w:szCs w:val="21"/>
        </w:rPr>
        <w:t>で、</w:t>
      </w:r>
      <w:r w:rsidRPr="00C67FE2">
        <w:rPr>
          <w:rFonts w:ascii="ＭＳ 明朝" w:eastAsia="ＭＳ 明朝" w:hAnsi="ＭＳ 明朝"/>
          <w:sz w:val="21"/>
          <w:szCs w:val="21"/>
        </w:rPr>
        <w:t>拘束力があり、首尾一貫した国際的な対応</w:t>
      </w:r>
      <w:r w:rsidR="00331951">
        <w:rPr>
          <w:rFonts w:ascii="ＭＳ 明朝" w:eastAsia="ＭＳ 明朝" w:hAnsi="ＭＳ 明朝" w:hint="eastAsia"/>
          <w:sz w:val="21"/>
          <w:szCs w:val="21"/>
        </w:rPr>
        <w:t>が</w:t>
      </w:r>
      <w:r w:rsidRPr="00C67FE2">
        <w:rPr>
          <w:rFonts w:ascii="ＭＳ 明朝" w:eastAsia="ＭＳ 明朝" w:hAnsi="ＭＳ 明朝"/>
          <w:sz w:val="21"/>
          <w:szCs w:val="21"/>
        </w:rPr>
        <w:t>必要</w:t>
      </w:r>
      <w:r w:rsidR="00331951">
        <w:rPr>
          <w:rFonts w:ascii="ＭＳ 明朝" w:eastAsia="ＭＳ 明朝" w:hAnsi="ＭＳ 明朝" w:hint="eastAsia"/>
          <w:sz w:val="21"/>
          <w:szCs w:val="21"/>
        </w:rPr>
        <w:t>です。</w:t>
      </w:r>
    </w:p>
    <w:p w14:paraId="45599174" w14:textId="67D7AA87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この作業部会がその任務を果たすためには、参加が全面的かつ有意義で、持続的なものでなければなりません。高齢者およびその代表組織は、このプロセスの単なる</w:t>
      </w:r>
      <w:r w:rsidR="00331951">
        <w:rPr>
          <w:rFonts w:ascii="ＭＳ 明朝" w:eastAsia="ＭＳ 明朝" w:hAnsi="ＭＳ 明朝" w:hint="eastAsia"/>
          <w:sz w:val="21"/>
          <w:szCs w:val="21"/>
        </w:rPr>
        <w:t>観察</w:t>
      </w:r>
      <w:r w:rsidRPr="00C67FE2">
        <w:rPr>
          <w:rFonts w:ascii="ＭＳ 明朝" w:eastAsia="ＭＳ 明朝" w:hAnsi="ＭＳ 明朝"/>
          <w:sz w:val="21"/>
          <w:szCs w:val="21"/>
        </w:rPr>
        <w:t>者であってはなりません。彼らは権利の保有者として、また条約の設計への貢献者として認識されなければなりません。アクセシビリティ、ハイブリッドな参加、文書の透明性、そして市民社会の</w:t>
      </w:r>
      <w:r w:rsidR="00331951">
        <w:rPr>
          <w:rFonts w:ascii="ＭＳ 明朝" w:eastAsia="ＭＳ 明朝" w:hAnsi="ＭＳ 明朝" w:hint="eastAsia"/>
          <w:sz w:val="21"/>
          <w:szCs w:val="21"/>
        </w:rPr>
        <w:t>当事者団体</w:t>
      </w:r>
      <w:r w:rsidRPr="00C67FE2">
        <w:rPr>
          <w:rFonts w:ascii="ＭＳ 明朝" w:eastAsia="ＭＳ 明朝" w:hAnsi="ＭＳ 明朝"/>
          <w:sz w:val="21"/>
          <w:szCs w:val="21"/>
        </w:rPr>
        <w:t>の尊重は、正当性を担保するために不可欠です。</w:t>
      </w:r>
    </w:p>
    <w:p w14:paraId="182DEF34" w14:textId="5E8FE783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さらに、条約の概念的基盤、指針となる原則、および適用範囲を固めることが、必要な第一歩であることを強調します。強固な規範的基盤がなければ、条文ごとの交渉において、取り組みが</w:t>
      </w:r>
      <w:r w:rsidR="005044EF">
        <w:rPr>
          <w:rFonts w:ascii="ＭＳ 明朝" w:eastAsia="ＭＳ 明朝" w:hAnsi="ＭＳ 明朝" w:hint="eastAsia"/>
          <w:sz w:val="21"/>
          <w:szCs w:val="21"/>
        </w:rPr>
        <w:t>ばらばらになったり</w:t>
      </w:r>
      <w:r w:rsidRPr="00C67FE2">
        <w:rPr>
          <w:rFonts w:ascii="ＭＳ 明朝" w:eastAsia="ＭＳ 明朝" w:hAnsi="ＭＳ 明朝"/>
          <w:sz w:val="21"/>
          <w:szCs w:val="21"/>
        </w:rPr>
        <w:t>、</w:t>
      </w:r>
      <w:r w:rsidR="005044EF">
        <w:rPr>
          <w:rFonts w:ascii="ＭＳ 明朝" w:eastAsia="ＭＳ 明朝" w:hAnsi="ＭＳ 明朝" w:hint="eastAsia"/>
          <w:sz w:val="21"/>
          <w:szCs w:val="21"/>
        </w:rPr>
        <w:t>大望が弱まる</w:t>
      </w:r>
      <w:r w:rsidRPr="00C67FE2">
        <w:rPr>
          <w:rFonts w:ascii="ＭＳ 明朝" w:eastAsia="ＭＳ 明朝" w:hAnsi="ＭＳ 明朝"/>
          <w:sz w:val="21"/>
          <w:szCs w:val="21"/>
        </w:rPr>
        <w:t>リスクがあります。</w:t>
      </w:r>
    </w:p>
    <w:p w14:paraId="353E4C1F" w14:textId="50D34EEF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今こそ、長寿には平等、尊厳、そして</w:t>
      </w:r>
      <w:r w:rsidR="005044EF">
        <w:rPr>
          <w:rFonts w:ascii="ＭＳ 明朝" w:eastAsia="ＭＳ 明朝" w:hAnsi="ＭＳ 明朝" w:hint="eastAsia"/>
          <w:sz w:val="21"/>
          <w:szCs w:val="21"/>
        </w:rPr>
        <w:t>実現できる</w:t>
      </w:r>
      <w:r w:rsidRPr="00C67FE2">
        <w:rPr>
          <w:rFonts w:ascii="ＭＳ 明朝" w:eastAsia="ＭＳ 明朝" w:hAnsi="ＭＳ 明朝"/>
          <w:sz w:val="21"/>
          <w:szCs w:val="21"/>
        </w:rPr>
        <w:t>権利が伴わなければならないことを確認する歴史的な機会で</w:t>
      </w:r>
      <w:r w:rsidR="005044EF">
        <w:rPr>
          <w:rFonts w:ascii="ＭＳ 明朝" w:eastAsia="ＭＳ 明朝" w:hAnsi="ＭＳ 明朝" w:hint="eastAsia"/>
          <w:sz w:val="21"/>
          <w:szCs w:val="21"/>
        </w:rPr>
        <w:t>す</w:t>
      </w:r>
      <w:r w:rsidRPr="00C67FE2">
        <w:rPr>
          <w:rFonts w:ascii="ＭＳ 明朝" w:eastAsia="ＭＳ 明朝" w:hAnsi="ＭＳ 明朝"/>
          <w:sz w:val="21"/>
          <w:szCs w:val="21"/>
        </w:rPr>
        <w:t>。</w:t>
      </w:r>
    </w:p>
    <w:p w14:paraId="31FB1DE0" w14:textId="161C3FBF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国際高齢者連盟（IFA）は、このプロセスが堅固かつ変革的な</w:t>
      </w:r>
      <w:r w:rsidR="005044EF">
        <w:rPr>
          <w:rFonts w:ascii="ＭＳ 明朝" w:eastAsia="ＭＳ 明朝" w:hAnsi="ＭＳ 明朝" w:hint="eastAsia"/>
          <w:sz w:val="21"/>
          <w:szCs w:val="21"/>
        </w:rPr>
        <w:t>文書</w:t>
      </w:r>
      <w:r w:rsidRPr="00C67FE2">
        <w:rPr>
          <w:rFonts w:ascii="ＭＳ 明朝" w:eastAsia="ＭＳ 明朝" w:hAnsi="ＭＳ 明朝"/>
          <w:sz w:val="21"/>
          <w:szCs w:val="21"/>
        </w:rPr>
        <w:t>を</w:t>
      </w:r>
      <w:r w:rsidR="005044EF" w:rsidRPr="00C67FE2">
        <w:rPr>
          <w:rFonts w:ascii="ＭＳ 明朝" w:eastAsia="ＭＳ 明朝" w:hAnsi="ＭＳ 明朝"/>
          <w:sz w:val="21"/>
          <w:szCs w:val="21"/>
        </w:rPr>
        <w:t>確実</w:t>
      </w:r>
      <w:r w:rsidR="005044EF">
        <w:rPr>
          <w:rFonts w:ascii="ＭＳ 明朝" w:eastAsia="ＭＳ 明朝" w:hAnsi="ＭＳ 明朝" w:hint="eastAsia"/>
          <w:sz w:val="21"/>
          <w:szCs w:val="21"/>
        </w:rPr>
        <w:t>に</w:t>
      </w:r>
      <w:r w:rsidRPr="00C67FE2">
        <w:rPr>
          <w:rFonts w:ascii="ＭＳ 明朝" w:eastAsia="ＭＳ 明朝" w:hAnsi="ＭＳ 明朝"/>
          <w:sz w:val="21"/>
          <w:szCs w:val="21"/>
        </w:rPr>
        <w:t>生み出</w:t>
      </w:r>
      <w:r w:rsidR="005044EF">
        <w:rPr>
          <w:rFonts w:ascii="ＭＳ 明朝" w:eastAsia="ＭＳ 明朝" w:hAnsi="ＭＳ 明朝" w:hint="eastAsia"/>
          <w:sz w:val="21"/>
          <w:szCs w:val="21"/>
        </w:rPr>
        <w:t>せるよう</w:t>
      </w:r>
      <w:r w:rsidRPr="00C67FE2">
        <w:rPr>
          <w:rFonts w:ascii="ＭＳ 明朝" w:eastAsia="ＭＳ 明朝" w:hAnsi="ＭＳ 明朝"/>
          <w:sz w:val="21"/>
          <w:szCs w:val="21"/>
        </w:rPr>
        <w:t>、専門知識と世界的な</w:t>
      </w:r>
      <w:r w:rsidR="005044EF">
        <w:rPr>
          <w:rFonts w:ascii="ＭＳ 明朝" w:eastAsia="ＭＳ 明朝" w:hAnsi="ＭＳ 明朝" w:hint="eastAsia"/>
          <w:sz w:val="21"/>
          <w:szCs w:val="21"/>
        </w:rPr>
        <w:t>連帯によって貢献</w:t>
      </w:r>
      <w:r w:rsidRPr="00C67FE2">
        <w:rPr>
          <w:rFonts w:ascii="ＭＳ 明朝" w:eastAsia="ＭＳ 明朝" w:hAnsi="ＭＳ 明朝"/>
          <w:sz w:val="21"/>
          <w:szCs w:val="21"/>
        </w:rPr>
        <w:t>する用意があ</w:t>
      </w:r>
      <w:r w:rsidR="005044EF">
        <w:rPr>
          <w:rFonts w:ascii="ＭＳ 明朝" w:eastAsia="ＭＳ 明朝" w:hAnsi="ＭＳ 明朝" w:hint="eastAsia"/>
          <w:sz w:val="21"/>
          <w:szCs w:val="21"/>
        </w:rPr>
        <w:t>ります</w:t>
      </w:r>
      <w:r w:rsidRPr="00C67FE2">
        <w:rPr>
          <w:rFonts w:ascii="ＭＳ 明朝" w:eastAsia="ＭＳ 明朝" w:hAnsi="ＭＳ 明朝"/>
          <w:sz w:val="21"/>
          <w:szCs w:val="21"/>
        </w:rPr>
        <w:t>。</w:t>
      </w:r>
    </w:p>
    <w:p w14:paraId="09B5E156" w14:textId="77777777" w:rsidR="00C67FE2" w:rsidRPr="00C67FE2" w:rsidRDefault="00C67FE2" w:rsidP="00C67FE2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議長、ありがとうございました。</w:t>
      </w:r>
    </w:p>
    <w:p w14:paraId="7DE7354F" w14:textId="77777777" w:rsidR="008B327A" w:rsidRDefault="008B327A" w:rsidP="008B327A">
      <w:pPr>
        <w:pStyle w:val="Web"/>
        <w:jc w:val="right"/>
        <w:rPr>
          <w:rFonts w:ascii="ＭＳ 明朝" w:eastAsia="ＭＳ 明朝" w:hAnsi="ＭＳ 明朝"/>
        </w:rPr>
      </w:pPr>
      <w:r w:rsidRPr="001C6C39">
        <w:rPr>
          <w:rFonts w:ascii="ＭＳ 明朝" w:eastAsia="ＭＳ 明朝" w:hAnsi="ＭＳ 明朝" w:hint="eastAsia"/>
        </w:rPr>
        <w:t>（翻訳：佐藤久夫、　　　　）</w:t>
      </w:r>
    </w:p>
    <w:p w14:paraId="2192543F" w14:textId="77777777" w:rsidR="00C67FE2" w:rsidRPr="00C67FE2" w:rsidRDefault="00C67FE2" w:rsidP="00C67FE2">
      <w:pPr>
        <w:pStyle w:val="Web"/>
        <w:rPr>
          <w:rFonts w:ascii="ＭＳ 明朝" w:eastAsia="ＭＳ 明朝" w:hAnsi="ＭＳ 明朝"/>
          <w:sz w:val="21"/>
          <w:szCs w:val="21"/>
        </w:rPr>
      </w:pPr>
    </w:p>
    <w:p w14:paraId="76563BD7" w14:textId="77777777" w:rsidR="00C67FE2" w:rsidRPr="00C67FE2" w:rsidRDefault="00C67FE2" w:rsidP="00C67FE2">
      <w:pPr>
        <w:rPr>
          <w:rFonts w:ascii="ＭＳ 明朝" w:eastAsia="ＭＳ 明朝" w:hAnsi="ＭＳ 明朝"/>
          <w:b/>
          <w:bCs/>
          <w:sz w:val="21"/>
          <w:szCs w:val="21"/>
        </w:rPr>
      </w:pPr>
    </w:p>
    <w:p w14:paraId="49ABECED" w14:textId="77777777" w:rsidR="00C67FE2" w:rsidRPr="00C67FE2" w:rsidRDefault="00C67FE2" w:rsidP="00C67FE2">
      <w:pPr>
        <w:rPr>
          <w:rFonts w:ascii="ＭＳ 明朝" w:eastAsia="ＭＳ 明朝" w:hAnsi="ＭＳ 明朝"/>
          <w:b/>
          <w:bCs/>
          <w:sz w:val="21"/>
          <w:szCs w:val="21"/>
        </w:rPr>
      </w:pPr>
    </w:p>
    <w:p w14:paraId="020E0645" w14:textId="77777777" w:rsidR="00C67FE2" w:rsidRPr="00C67FE2" w:rsidRDefault="00C67FE2" w:rsidP="00C67FE2">
      <w:pPr>
        <w:rPr>
          <w:rFonts w:ascii="ＭＳ 明朝" w:eastAsia="ＭＳ 明朝" w:hAnsi="ＭＳ 明朝"/>
          <w:b/>
          <w:bCs/>
          <w:sz w:val="21"/>
          <w:szCs w:val="21"/>
        </w:rPr>
      </w:pPr>
    </w:p>
    <w:p w14:paraId="42107D63" w14:textId="44A9C314" w:rsidR="00C67FE2" w:rsidRPr="00C67FE2" w:rsidRDefault="00C67FE2" w:rsidP="00C67FE2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C67FE2">
        <w:rPr>
          <w:rFonts w:ascii="ＭＳ 明朝" w:eastAsia="ＭＳ 明朝" w:hAnsi="ＭＳ 明朝"/>
          <w:b/>
          <w:bCs/>
          <w:sz w:val="21"/>
          <w:szCs w:val="21"/>
        </w:rPr>
        <w:lastRenderedPageBreak/>
        <w:t xml:space="preserve">International Federation on Ageing (IFA) – Oral Statement </w:t>
      </w:r>
    </w:p>
    <w:p w14:paraId="0DA71150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Thank you, Chair.</w:t>
      </w:r>
    </w:p>
    <w:p w14:paraId="5D4FF570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The International Federation on Ageing aligns itself with the statement delivered by the Global Alliance for the Rights of Older People.</w:t>
      </w:r>
    </w:p>
    <w:p w14:paraId="5F87BF8C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The creation of this Intergovernmental Working Group is not merely procedural progress — it is a recognition that the current international human rights framework has not sufficiently addressed the systemic discrimination, protection gaps, and structural invisibility experienced by older persons worldwide.</w:t>
      </w:r>
    </w:p>
    <w:p w14:paraId="75CC5358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Population ageing is accelerating in every region. Yet older persons continue to face age-based exclusion in law, policy and practice — in access to health care, social protection, decent work, humanitarian response, protection from violence, and equal recognition before the law. These are not isolated shortcomings; they reveal normative gaps that require a clear, binding and coherent international response.</w:t>
      </w:r>
    </w:p>
    <w:p w14:paraId="3AA64FFB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For this Working Group to meet its mandate, participation must be full, meaningful and sustained. Older persons and their representative organisations must not be observers to this process — they must be recognised as rights-holders and contributors to its design. Accessibility, hybrid participation, transparency of documentation and respect for civil society self-organisation are essential safeguards of legitimacy.</w:t>
      </w:r>
    </w:p>
    <w:p w14:paraId="19571126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We further emphasise that consolidating the conceptual basis, guiding principles and scope of the treaty is a necessary first step. Without a solid normative foundation, article-by-article negotiations risk fragmentation and dilution of ambition.</w:t>
      </w:r>
    </w:p>
    <w:p w14:paraId="3C39A4CA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This moment offers a historic opportunity to affirm that longevity must be accompanied by equality, dignity and enforceable rights.</w:t>
      </w:r>
    </w:p>
    <w:p w14:paraId="0A73A5E3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The International Federation on Ageing stands ready to contribute its expertise and global partnerships to ensure that this process delivers a robust and transformative instrument.</w:t>
      </w:r>
    </w:p>
    <w:p w14:paraId="11AFBA67" w14:textId="77777777" w:rsidR="00C67FE2" w:rsidRPr="00C67FE2" w:rsidRDefault="00C67FE2" w:rsidP="00C67FE2">
      <w:pPr>
        <w:rPr>
          <w:rFonts w:ascii="ＭＳ 明朝" w:eastAsia="ＭＳ 明朝" w:hAnsi="ＭＳ 明朝"/>
          <w:sz w:val="21"/>
          <w:szCs w:val="21"/>
        </w:rPr>
      </w:pPr>
      <w:r w:rsidRPr="00C67FE2">
        <w:rPr>
          <w:rFonts w:ascii="ＭＳ 明朝" w:eastAsia="ＭＳ 明朝" w:hAnsi="ＭＳ 明朝"/>
          <w:sz w:val="21"/>
          <w:szCs w:val="21"/>
        </w:rPr>
        <w:t>Thank you, Chair.</w:t>
      </w:r>
    </w:p>
    <w:p w14:paraId="4397B47F" w14:textId="77777777" w:rsidR="000B2AFD" w:rsidRPr="00C67FE2" w:rsidRDefault="000B2AFD">
      <w:pPr>
        <w:rPr>
          <w:rFonts w:ascii="ＭＳ 明朝" w:eastAsia="ＭＳ 明朝" w:hAnsi="ＭＳ 明朝"/>
          <w:sz w:val="21"/>
          <w:szCs w:val="21"/>
        </w:rPr>
      </w:pPr>
    </w:p>
    <w:sectPr w:rsidR="000B2AFD" w:rsidRPr="00C67FE2" w:rsidSect="00C67FE2">
      <w:footerReference w:type="even" r:id="rId6"/>
      <w:footerReference w:type="default" r:id="rId7"/>
      <w:footerReference w:type="first" r:id="rId8"/>
      <w:pgSz w:w="11907" w:h="16840" w:code="9"/>
      <w:pgMar w:top="1985" w:right="1701" w:bottom="1701" w:left="1701" w:header="851" w:footer="567" w:gutter="0"/>
      <w:pgNumType w:start="1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8557" w14:textId="77777777" w:rsidR="00C67FE2" w:rsidRDefault="00C67FE2" w:rsidP="00C67FE2">
      <w:pPr>
        <w:spacing w:after="0" w:line="240" w:lineRule="auto"/>
      </w:pPr>
      <w:r>
        <w:separator/>
      </w:r>
    </w:p>
  </w:endnote>
  <w:endnote w:type="continuationSeparator" w:id="0">
    <w:p w14:paraId="5E8D7AFB" w14:textId="77777777" w:rsidR="00C67FE2" w:rsidRDefault="00C67FE2" w:rsidP="00C6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67014"/>
      <w:docPartObj>
        <w:docPartGallery w:val="Page Numbers (Bottom of Page)"/>
        <w:docPartUnique/>
      </w:docPartObj>
    </w:sdtPr>
    <w:sdtEndPr/>
    <w:sdtContent>
      <w:p w14:paraId="418D0C28" w14:textId="489E4934" w:rsidR="00C67FE2" w:rsidRDefault="00C67FE2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EBD6C1E" w14:textId="77777777" w:rsidR="00C67FE2" w:rsidRDefault="00C67FE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88748"/>
      <w:docPartObj>
        <w:docPartGallery w:val="Page Numbers (Bottom of Page)"/>
        <w:docPartUnique/>
      </w:docPartObj>
    </w:sdtPr>
    <w:sdtEndPr/>
    <w:sdtContent>
      <w:p w14:paraId="64AFBB36" w14:textId="6276A166" w:rsidR="00C67FE2" w:rsidRDefault="00C67FE2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3C430F81" w14:textId="77777777" w:rsidR="00C67FE2" w:rsidRDefault="00C67FE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384505"/>
      <w:docPartObj>
        <w:docPartGallery w:val="Page Numbers (Bottom of Page)"/>
        <w:docPartUnique/>
      </w:docPartObj>
    </w:sdtPr>
    <w:sdtEndPr/>
    <w:sdtContent>
      <w:p w14:paraId="4DF7FE98" w14:textId="0F8ACE7D" w:rsidR="00C67FE2" w:rsidRDefault="00C67FE2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1FDBAE8" w14:textId="77777777" w:rsidR="00C67FE2" w:rsidRDefault="00C67FE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5751" w14:textId="77777777" w:rsidR="00C67FE2" w:rsidRDefault="00C67FE2" w:rsidP="00C67FE2">
      <w:pPr>
        <w:spacing w:after="0" w:line="240" w:lineRule="auto"/>
      </w:pPr>
      <w:r>
        <w:separator/>
      </w:r>
    </w:p>
  </w:footnote>
  <w:footnote w:type="continuationSeparator" w:id="0">
    <w:p w14:paraId="09A811B5" w14:textId="77777777" w:rsidR="00C67FE2" w:rsidRDefault="00C67FE2" w:rsidP="00C67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E2"/>
    <w:rsid w:val="000B2AFD"/>
    <w:rsid w:val="00152B39"/>
    <w:rsid w:val="003126F0"/>
    <w:rsid w:val="00331951"/>
    <w:rsid w:val="00341E42"/>
    <w:rsid w:val="003A6E34"/>
    <w:rsid w:val="005044EF"/>
    <w:rsid w:val="00692D7C"/>
    <w:rsid w:val="006A05DC"/>
    <w:rsid w:val="0070471F"/>
    <w:rsid w:val="008B327A"/>
    <w:rsid w:val="00AF582A"/>
    <w:rsid w:val="00B37471"/>
    <w:rsid w:val="00C14C0E"/>
    <w:rsid w:val="00C67FE2"/>
    <w:rsid w:val="00D61491"/>
    <w:rsid w:val="00D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84649E"/>
  <w15:chartTrackingRefBased/>
  <w15:docId w15:val="{7DF796C7-FCB6-49C1-8115-9A0BB541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E2"/>
    <w:pPr>
      <w:spacing w:after="160" w:line="278" w:lineRule="auto"/>
    </w:pPr>
    <w:rPr>
      <w:kern w:val="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7F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FE2"/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</w:rPr>
  </w:style>
  <w:style w:type="character" w:customStyle="1" w:styleId="30">
    <w:name w:val="見出し 3 (文字)"/>
    <w:basedOn w:val="a0"/>
    <w:link w:val="3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lang w:eastAsia="ja-JP"/>
    </w:rPr>
  </w:style>
  <w:style w:type="character" w:customStyle="1" w:styleId="50">
    <w:name w:val="見出し 5 (文字)"/>
    <w:basedOn w:val="a0"/>
    <w:link w:val="5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lang w:eastAsia="ja-JP"/>
    </w:rPr>
  </w:style>
  <w:style w:type="character" w:customStyle="1" w:styleId="60">
    <w:name w:val="見出し 6 (文字)"/>
    <w:basedOn w:val="a0"/>
    <w:link w:val="6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lang w:eastAsia="ja-JP"/>
    </w:rPr>
  </w:style>
  <w:style w:type="character" w:customStyle="1" w:styleId="70">
    <w:name w:val="見出し 7 (文字)"/>
    <w:basedOn w:val="a0"/>
    <w:link w:val="7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lang w:eastAsia="ja-JP"/>
    </w:rPr>
  </w:style>
  <w:style w:type="character" w:customStyle="1" w:styleId="80">
    <w:name w:val="見出し 8 (文字)"/>
    <w:basedOn w:val="a0"/>
    <w:link w:val="8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lang w:eastAsia="ja-JP"/>
    </w:rPr>
  </w:style>
  <w:style w:type="character" w:customStyle="1" w:styleId="90">
    <w:name w:val="見出し 9 (文字)"/>
    <w:basedOn w:val="a0"/>
    <w:link w:val="9"/>
    <w:uiPriority w:val="9"/>
    <w:semiHidden/>
    <w:rsid w:val="00C67FE2"/>
    <w:rPr>
      <w:rFonts w:asciiTheme="majorHAnsi" w:eastAsiaTheme="majorEastAsia" w:hAnsiTheme="majorHAnsi" w:cstheme="majorBidi"/>
      <w:color w:val="000000" w:themeColor="text1"/>
      <w:lang w:eastAsia="ja-JP"/>
    </w:rPr>
  </w:style>
  <w:style w:type="paragraph" w:styleId="a3">
    <w:name w:val="Title"/>
    <w:basedOn w:val="a"/>
    <w:next w:val="a"/>
    <w:link w:val="a4"/>
    <w:uiPriority w:val="10"/>
    <w:qFormat/>
    <w:rsid w:val="00C67F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FE2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a5">
    <w:name w:val="Subtitle"/>
    <w:basedOn w:val="a"/>
    <w:next w:val="a"/>
    <w:link w:val="a6"/>
    <w:uiPriority w:val="11"/>
    <w:qFormat/>
    <w:rsid w:val="00C67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a7">
    <w:name w:val="Quote"/>
    <w:basedOn w:val="a"/>
    <w:next w:val="a"/>
    <w:link w:val="a8"/>
    <w:uiPriority w:val="29"/>
    <w:qFormat/>
    <w:rsid w:val="00C6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FE2"/>
    <w:rPr>
      <w:i/>
      <w:iCs/>
      <w:color w:val="404040" w:themeColor="text1" w:themeTint="BF"/>
      <w:lang w:eastAsia="ja-JP"/>
    </w:rPr>
  </w:style>
  <w:style w:type="paragraph" w:styleId="a9">
    <w:name w:val="List Paragraph"/>
    <w:basedOn w:val="a"/>
    <w:uiPriority w:val="34"/>
    <w:qFormat/>
    <w:rsid w:val="00C67F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F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FE2"/>
    <w:rPr>
      <w:i/>
      <w:iCs/>
      <w:color w:val="2F5496" w:themeColor="accent1" w:themeShade="BF"/>
      <w:lang w:eastAsia="ja-JP"/>
    </w:rPr>
  </w:style>
  <w:style w:type="character" w:styleId="24">
    <w:name w:val="Intense Reference"/>
    <w:basedOn w:val="a0"/>
    <w:uiPriority w:val="32"/>
    <w:qFormat/>
    <w:rsid w:val="00C67FE2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67FE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C67F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7FE2"/>
    <w:rPr>
      <w:kern w:val="2"/>
      <w:lang w:eastAsia="en-US"/>
    </w:rPr>
  </w:style>
  <w:style w:type="paragraph" w:styleId="ac">
    <w:name w:val="footer"/>
    <w:basedOn w:val="a"/>
    <w:link w:val="ad"/>
    <w:uiPriority w:val="99"/>
    <w:unhideWhenUsed/>
    <w:rsid w:val="00C67F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FE2"/>
    <w:rPr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久夫 佐藤</dc:creator>
  <cp:keywords/>
  <dc:description/>
  <cp:lastModifiedBy>久夫 佐藤</cp:lastModifiedBy>
  <cp:revision>2</cp:revision>
  <dcterms:created xsi:type="dcterms:W3CDTF">2026-05-10T03:34:00Z</dcterms:created>
  <dcterms:modified xsi:type="dcterms:W3CDTF">2026-05-10T03:34:00Z</dcterms:modified>
</cp:coreProperties>
</file>