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811D" w14:textId="77777777" w:rsidR="00684DBA" w:rsidRDefault="00684DBA" w:rsidP="00684DBA">
      <w:pPr>
        <w:pStyle w:val="Web"/>
        <w:spacing w:after="0" w:afterAutospacing="0"/>
        <w:rPr>
          <w:rFonts w:ascii="BIZ UDPゴシック" w:eastAsia="BIZ UDPゴシック" w:hAnsi="BIZ UDPゴシック"/>
        </w:rPr>
      </w:pPr>
      <w:r>
        <w:rPr>
          <w:rFonts w:ascii="BIZ UDPゴシック" w:eastAsia="BIZ UDPゴシック" w:hAnsi="BIZ UDPゴシック" w:hint="eastAsia"/>
        </w:rPr>
        <w:t>議題</w:t>
      </w:r>
      <w:r>
        <w:rPr>
          <w:rFonts w:ascii="BIZ UDPゴシック" w:eastAsia="BIZ UDPゴシック" w:hAnsi="BIZ UDPゴシック" w:hint="eastAsia"/>
          <w:lang w:eastAsia="ja-JP"/>
        </w:rPr>
        <w:t>5</w:t>
      </w:r>
      <w:r>
        <w:rPr>
          <w:rFonts w:ascii="BIZ UDPゴシック" w:eastAsia="BIZ UDPゴシック" w:hAnsi="BIZ UDPゴシック" w:hint="eastAsia"/>
        </w:rPr>
        <w:t xml:space="preserve">　一般的意見</w:t>
      </w:r>
    </w:p>
    <w:p w14:paraId="5E882B7C" w14:textId="77777777" w:rsidR="00684DBA" w:rsidRDefault="00684DBA" w:rsidP="00C06E12">
      <w:pPr>
        <w:spacing w:before="100" w:beforeAutospacing="1" w:after="100" w:afterAutospacing="1" w:line="240" w:lineRule="auto"/>
        <w:rPr>
          <w:rFonts w:ascii="BIZ UDPゴシック" w:eastAsia="BIZ UDPゴシック" w:hAnsi="BIZ UDPゴシック" w:cs="ＭＳ Ｐゴシック"/>
          <w:sz w:val="24"/>
          <w:szCs w:val="24"/>
          <w:lang w:eastAsia="ja-JP"/>
          <w14:ligatures w14:val="none"/>
        </w:rPr>
      </w:pPr>
    </w:p>
    <w:p w14:paraId="4DC26FCE" w14:textId="4B2827B5" w:rsidR="00C06E12" w:rsidRPr="00C06E12" w:rsidRDefault="00C06E12" w:rsidP="00C06E12">
      <w:pPr>
        <w:spacing w:before="100" w:beforeAutospacing="1" w:after="100" w:afterAutospacing="1" w:line="240" w:lineRule="auto"/>
        <w:rPr>
          <w:rFonts w:ascii="BIZ UDPゴシック" w:eastAsia="BIZ UDPゴシック" w:hAnsi="BIZ UDPゴシック" w:cs="ＭＳ Ｐゴシック"/>
          <w:sz w:val="24"/>
          <w:szCs w:val="24"/>
          <w:lang w:eastAsia="ja-JP"/>
          <w14:ligatures w14:val="none"/>
        </w:rPr>
      </w:pPr>
      <w:r w:rsidRPr="00C06E12">
        <w:rPr>
          <w:rFonts w:ascii="BIZ UDPゴシック" w:eastAsia="BIZ UDPゴシック" w:hAnsi="BIZ UDPゴシック" w:cs="ＭＳ Ｐゴシック"/>
          <w:sz w:val="24"/>
          <w:szCs w:val="24"/>
          <w:lang w:eastAsia="ja-JP"/>
          <w14:ligatures w14:val="none"/>
        </w:rPr>
        <w:t>フアン・イグナシオ・ペレス・ベロ</w:t>
      </w:r>
      <w:r w:rsidRPr="00C06E12">
        <w:rPr>
          <w:rFonts w:ascii="BIZ UDPゴシック" w:eastAsia="BIZ UDPゴシック" w:hAnsi="BIZ UDPゴシック" w:cs="ＭＳ Ｐゴシック" w:hint="eastAsia"/>
          <w:sz w:val="24"/>
          <w:szCs w:val="24"/>
          <w:lang w:eastAsia="ja-JP"/>
          <w14:ligatures w14:val="none"/>
        </w:rPr>
        <w:t xml:space="preserve">　</w:t>
      </w:r>
      <w:r w:rsidRPr="00C06E12">
        <w:rPr>
          <w:rFonts w:ascii="BIZ UDPゴシック" w:eastAsia="BIZ UDPゴシック" w:hAnsi="BIZ UDPゴシック" w:cs="ＭＳ Ｐゴシック"/>
          <w:sz w:val="24"/>
          <w:szCs w:val="24"/>
          <w:lang w:eastAsia="ja-JP"/>
          <w14:ligatures w14:val="none"/>
        </w:rPr>
        <w:t>国際障害同盟（IDA）上級人権顧問</w:t>
      </w:r>
    </w:p>
    <w:p w14:paraId="37481E7C" w14:textId="77777777" w:rsidR="00C06E12" w:rsidRPr="00C06E12" w:rsidRDefault="00C06E12" w:rsidP="00C06E12">
      <w:pPr>
        <w:spacing w:before="100" w:beforeAutospacing="1" w:after="100" w:afterAutospacing="1" w:line="240" w:lineRule="auto"/>
        <w:rPr>
          <w:rFonts w:ascii="ＭＳ 明朝" w:eastAsia="ＭＳ 明朝" w:hAnsi="ＭＳ 明朝" w:cs="ＭＳ Ｐゴシック"/>
          <w:sz w:val="21"/>
          <w:szCs w:val="21"/>
          <w:lang w:eastAsia="ja-JP"/>
          <w14:ligatures w14:val="none"/>
        </w:rPr>
      </w:pPr>
    </w:p>
    <w:p w14:paraId="64C63D0F" w14:textId="77777777" w:rsidR="00C06E12" w:rsidRPr="00C06E12" w:rsidRDefault="00C06E12" w:rsidP="00C06E12">
      <w:pPr>
        <w:spacing w:before="100" w:beforeAutospacing="1" w:after="100" w:afterAutospacing="1" w:line="240" w:lineRule="auto"/>
        <w:ind w:firstLineChars="100" w:firstLine="210"/>
        <w:rPr>
          <w:rFonts w:ascii="ＭＳ 明朝" w:eastAsia="ＭＳ 明朝" w:hAnsi="ＭＳ 明朝" w:cs="ＭＳ Ｐゴシック"/>
          <w:sz w:val="21"/>
          <w:szCs w:val="21"/>
          <w:lang w:eastAsia="ja-JP"/>
          <w14:ligatures w14:val="none"/>
        </w:rPr>
      </w:pPr>
      <w:r w:rsidRPr="00C06E12">
        <w:rPr>
          <w:rFonts w:ascii="ＭＳ 明朝" w:eastAsia="ＭＳ 明朝" w:hAnsi="ＭＳ 明朝" w:cs="ＭＳ Ｐゴシック"/>
          <w:sz w:val="21"/>
          <w:szCs w:val="21"/>
          <w:lang w:eastAsia="ja-JP"/>
          <w14:ligatures w14:val="none"/>
        </w:rPr>
        <w:t>各国の代表、パネリスト、およびNGO代表の皆様、</w:t>
      </w:r>
    </w:p>
    <w:p w14:paraId="42AB9B8E" w14:textId="10ECA4AE" w:rsidR="00C06E12" w:rsidRPr="00C06E12" w:rsidRDefault="00C06E12" w:rsidP="00C06E12">
      <w:pPr>
        <w:spacing w:before="100" w:beforeAutospacing="1" w:after="100" w:afterAutospacing="1" w:line="240" w:lineRule="auto"/>
        <w:ind w:firstLineChars="100" w:firstLine="210"/>
        <w:rPr>
          <w:rFonts w:ascii="ＭＳ 明朝" w:eastAsia="ＭＳ 明朝" w:hAnsi="ＭＳ 明朝" w:cs="ＭＳ Ｐゴシック"/>
          <w:sz w:val="21"/>
          <w:szCs w:val="21"/>
          <w:lang w:eastAsia="ja-JP"/>
          <w14:ligatures w14:val="none"/>
        </w:rPr>
      </w:pPr>
      <w:r w:rsidRPr="00C06E12">
        <w:rPr>
          <w:rFonts w:ascii="ＭＳ 明朝" w:eastAsia="ＭＳ 明朝" w:hAnsi="ＭＳ 明朝" w:cs="ＭＳ Ｐゴシック"/>
          <w:sz w:val="21"/>
          <w:szCs w:val="21"/>
          <w:lang w:eastAsia="ja-JP"/>
          <w14:ligatures w14:val="none"/>
        </w:rPr>
        <w:t>私は、8つの国際組織および6つの地域組織からなる障害者団体連合である国際障害同盟（IDA）を代表して、この短い声明を発表します。IDAは、国連障害者権利条約に定められた人権基準を擁護し、障害</w:t>
      </w:r>
      <w:r>
        <w:rPr>
          <w:rFonts w:ascii="ＭＳ 明朝" w:eastAsia="ＭＳ 明朝" w:hAnsi="ＭＳ 明朝" w:cs="ＭＳ Ｐゴシック" w:hint="eastAsia"/>
          <w:sz w:val="21"/>
          <w:szCs w:val="21"/>
          <w:lang w:eastAsia="ja-JP"/>
          <w14:ligatures w14:val="none"/>
        </w:rPr>
        <w:t>のある人の</w:t>
      </w:r>
      <w:r w:rsidRPr="00C06E12">
        <w:rPr>
          <w:rFonts w:ascii="ＭＳ 明朝" w:eastAsia="ＭＳ 明朝" w:hAnsi="ＭＳ 明朝" w:cs="ＭＳ Ｐゴシック"/>
          <w:sz w:val="21"/>
          <w:szCs w:val="21"/>
          <w:lang w:eastAsia="ja-JP"/>
          <w14:ligatures w14:val="none"/>
        </w:rPr>
        <w:t>他の人と</w:t>
      </w:r>
      <w:r>
        <w:rPr>
          <w:rFonts w:ascii="ＭＳ 明朝" w:eastAsia="ＭＳ 明朝" w:hAnsi="ＭＳ 明朝" w:cs="ＭＳ Ｐゴシック" w:hint="eastAsia"/>
          <w:sz w:val="21"/>
          <w:szCs w:val="21"/>
          <w:lang w:eastAsia="ja-JP"/>
          <w14:ligatures w14:val="none"/>
        </w:rPr>
        <w:t>平等な</w:t>
      </w:r>
      <w:r w:rsidRPr="00C06E12">
        <w:rPr>
          <w:rFonts w:ascii="ＭＳ 明朝" w:eastAsia="ＭＳ 明朝" w:hAnsi="ＭＳ 明朝" w:cs="ＭＳ Ｐゴシック"/>
          <w:sz w:val="21"/>
          <w:szCs w:val="21"/>
          <w:lang w:eastAsia="ja-JP"/>
          <w14:ligatures w14:val="none"/>
        </w:rPr>
        <w:t>地域社会生活</w:t>
      </w:r>
      <w:r>
        <w:rPr>
          <w:rFonts w:ascii="ＭＳ 明朝" w:eastAsia="ＭＳ 明朝" w:hAnsi="ＭＳ 明朝" w:cs="ＭＳ Ｐゴシック" w:hint="eastAsia"/>
          <w:sz w:val="21"/>
          <w:szCs w:val="21"/>
          <w:lang w:eastAsia="ja-JP"/>
          <w14:ligatures w14:val="none"/>
        </w:rPr>
        <w:t>への</w:t>
      </w:r>
      <w:r w:rsidRPr="00C06E12">
        <w:rPr>
          <w:rFonts w:ascii="ＭＳ 明朝" w:eastAsia="ＭＳ 明朝" w:hAnsi="ＭＳ 明朝" w:cs="ＭＳ Ｐゴシック"/>
          <w:sz w:val="21"/>
          <w:szCs w:val="21"/>
          <w:lang w:eastAsia="ja-JP"/>
          <w14:ligatures w14:val="none"/>
        </w:rPr>
        <w:t>包摂</w:t>
      </w:r>
      <w:r>
        <w:rPr>
          <w:rFonts w:ascii="ＭＳ 明朝" w:eastAsia="ＭＳ 明朝" w:hAnsi="ＭＳ 明朝" w:cs="ＭＳ Ｐゴシック" w:hint="eastAsia"/>
          <w:sz w:val="21"/>
          <w:szCs w:val="21"/>
          <w:lang w:eastAsia="ja-JP"/>
          <w14:ligatures w14:val="none"/>
        </w:rPr>
        <w:t>と</w:t>
      </w:r>
      <w:r w:rsidRPr="00C06E12">
        <w:rPr>
          <w:rFonts w:ascii="ＭＳ 明朝" w:eastAsia="ＭＳ 明朝" w:hAnsi="ＭＳ 明朝" w:cs="ＭＳ Ｐゴシック"/>
          <w:sz w:val="21"/>
          <w:szCs w:val="21"/>
          <w:lang w:eastAsia="ja-JP"/>
          <w14:ligatures w14:val="none"/>
        </w:rPr>
        <w:t>参加を促進することを提唱しています。</w:t>
      </w:r>
    </w:p>
    <w:p w14:paraId="359222E9" w14:textId="493842DA" w:rsidR="00C06E12" w:rsidRPr="00C06E12" w:rsidRDefault="00C06E12" w:rsidP="00C06E12">
      <w:pPr>
        <w:spacing w:before="100" w:beforeAutospacing="1" w:after="100" w:afterAutospacing="1" w:line="240" w:lineRule="auto"/>
        <w:ind w:firstLineChars="100" w:firstLine="210"/>
        <w:rPr>
          <w:rFonts w:ascii="ＭＳ 明朝" w:eastAsia="ＭＳ 明朝" w:hAnsi="ＭＳ 明朝" w:cs="ＭＳ Ｐゴシック"/>
          <w:sz w:val="21"/>
          <w:szCs w:val="21"/>
          <w:lang w:eastAsia="ja-JP"/>
          <w14:ligatures w14:val="none"/>
        </w:rPr>
      </w:pPr>
      <w:r w:rsidRPr="00C06E12">
        <w:rPr>
          <w:rFonts w:ascii="ＭＳ 明朝" w:eastAsia="ＭＳ 明朝" w:hAnsi="ＭＳ 明朝" w:cs="ＭＳ Ｐゴシック"/>
          <w:sz w:val="21"/>
          <w:szCs w:val="21"/>
          <w:lang w:eastAsia="ja-JP"/>
          <w14:ligatures w14:val="none"/>
        </w:rPr>
        <w:t>他の市民社会組織と連携し、IDAは、プロセス全体を通じて市民社会、とりわけ高齢女性や高齢障害者など、複数のアイデンティティを持つ人を含む、あらゆる多様性を持つ権利保有者の代表が有意義に参加できる仕組みを求めます。これには、パネルだけでなく、作業部会、起草会合、会期間の会合などにも、権利保有者とその代表組織を参加させることが必要です。真の対話を促進するためには、市民社会による発言は会合の終了時に限定されるべきではありません。</w:t>
      </w:r>
    </w:p>
    <w:p w14:paraId="616E637A" w14:textId="32F06FB1" w:rsidR="00C06E12" w:rsidRPr="00C06E12" w:rsidRDefault="00C06E12" w:rsidP="00C06E12">
      <w:pPr>
        <w:spacing w:before="100" w:beforeAutospacing="1" w:after="100" w:afterAutospacing="1" w:line="240" w:lineRule="auto"/>
        <w:ind w:firstLineChars="100" w:firstLine="210"/>
        <w:rPr>
          <w:rFonts w:ascii="ＭＳ 明朝" w:eastAsia="ＭＳ 明朝" w:hAnsi="ＭＳ 明朝" w:cs="ＭＳ Ｐゴシック"/>
          <w:sz w:val="21"/>
          <w:szCs w:val="21"/>
          <w:lang w:eastAsia="ja-JP"/>
          <w14:ligatures w14:val="none"/>
        </w:rPr>
      </w:pPr>
      <w:r w:rsidRPr="00C06E12">
        <w:rPr>
          <w:rFonts w:ascii="ＭＳ 明朝" w:eastAsia="ＭＳ 明朝" w:hAnsi="ＭＳ 明朝" w:cs="ＭＳ Ｐゴシック"/>
          <w:sz w:val="21"/>
          <w:szCs w:val="21"/>
          <w:lang w:eastAsia="ja-JP"/>
          <w14:ligatures w14:val="none"/>
        </w:rPr>
        <w:t>障害のある高齢者、また必ずしも自らを障害</w:t>
      </w:r>
      <w:r>
        <w:rPr>
          <w:rFonts w:ascii="ＭＳ 明朝" w:eastAsia="ＭＳ 明朝" w:hAnsi="ＭＳ 明朝" w:cs="ＭＳ Ｐゴシック" w:hint="eastAsia"/>
          <w:sz w:val="21"/>
          <w:szCs w:val="21"/>
          <w:lang w:eastAsia="ja-JP"/>
          <w14:ligatures w14:val="none"/>
        </w:rPr>
        <w:t>のある人</w:t>
      </w:r>
      <w:r w:rsidRPr="00C06E12">
        <w:rPr>
          <w:rFonts w:ascii="ＭＳ 明朝" w:eastAsia="ＭＳ 明朝" w:hAnsi="ＭＳ 明朝" w:cs="ＭＳ Ｐゴシック"/>
          <w:sz w:val="21"/>
          <w:szCs w:val="21"/>
          <w:lang w:eastAsia="ja-JP"/>
          <w14:ligatures w14:val="none"/>
        </w:rPr>
        <w:t>として認識していない高齢者にとっても、真に包括的なプロセスを実現するためには、字幕、国際手話、ウェブキャスト</w:t>
      </w:r>
      <w:r w:rsidR="002F7833">
        <w:rPr>
          <w:rFonts w:ascii="ＭＳ 明朝" w:eastAsia="ＭＳ 明朝" w:hAnsi="ＭＳ 明朝" w:cs="ＭＳ Ｐゴシック" w:hint="eastAsia"/>
          <w:sz w:val="21"/>
          <w:szCs w:val="21"/>
          <w:lang w:eastAsia="ja-JP"/>
          <w14:ligatures w14:val="none"/>
        </w:rPr>
        <w:t>（インターネット配信）</w:t>
      </w:r>
      <w:r w:rsidRPr="00C06E12">
        <w:rPr>
          <w:rFonts w:ascii="ＭＳ 明朝" w:eastAsia="ＭＳ 明朝" w:hAnsi="ＭＳ 明朝" w:cs="ＭＳ Ｐゴシック"/>
          <w:sz w:val="21"/>
          <w:szCs w:val="21"/>
          <w:lang w:eastAsia="ja-JP"/>
          <w14:ligatures w14:val="none"/>
        </w:rPr>
        <w:t>などのアクセシビリティサービスに加え、適切な貢献を行うための準備として、デジタルアクセシブル形式や</w:t>
      </w:r>
      <w:r w:rsidR="002F7833">
        <w:rPr>
          <w:rFonts w:ascii="ＭＳ 明朝" w:eastAsia="ＭＳ 明朝" w:hAnsi="ＭＳ 明朝" w:cs="ＭＳ Ｐゴシック" w:hint="eastAsia"/>
          <w:sz w:val="21"/>
          <w:szCs w:val="21"/>
          <w:lang w:eastAsia="ja-JP"/>
          <w14:ligatures w14:val="none"/>
        </w:rPr>
        <w:t>わかりやすい版（</w:t>
      </w:r>
      <w:r w:rsidR="002F7833" w:rsidRPr="002F7833">
        <w:rPr>
          <w:rFonts w:ascii="ＭＳ 明朝" w:eastAsia="ＭＳ 明朝" w:hAnsi="ＭＳ 明朝" w:cs="ＭＳ Ｐゴシック"/>
          <w:sz w:val="21"/>
          <w:szCs w:val="21"/>
          <w:lang w:eastAsia="ja-JP"/>
          <w14:ligatures w14:val="none"/>
        </w:rPr>
        <w:t>Easy to read formats</w:t>
      </w:r>
      <w:r w:rsidR="002F7833">
        <w:rPr>
          <w:rFonts w:ascii="ＭＳ 明朝" w:eastAsia="ＭＳ 明朝" w:hAnsi="ＭＳ 明朝" w:cs="ＭＳ Ｐゴシック" w:hint="eastAsia"/>
          <w:sz w:val="21"/>
          <w:szCs w:val="21"/>
          <w:lang w:eastAsia="ja-JP"/>
          <w14:ligatures w14:val="none"/>
        </w:rPr>
        <w:t>）</w:t>
      </w:r>
      <w:r w:rsidRPr="00C06E12">
        <w:rPr>
          <w:rFonts w:ascii="ＭＳ 明朝" w:eastAsia="ＭＳ 明朝" w:hAnsi="ＭＳ 明朝" w:cs="ＭＳ Ｐゴシック"/>
          <w:sz w:val="21"/>
          <w:szCs w:val="21"/>
          <w:lang w:eastAsia="ja-JP"/>
          <w14:ligatures w14:val="none"/>
        </w:rPr>
        <w:t>など、関連情報の</w:t>
      </w:r>
      <w:r w:rsidR="002F7833">
        <w:rPr>
          <w:rFonts w:ascii="ＭＳ 明朝" w:eastAsia="ＭＳ 明朝" w:hAnsi="ＭＳ 明朝" w:cs="ＭＳ Ｐゴシック" w:hint="eastAsia"/>
          <w:sz w:val="21"/>
          <w:szCs w:val="21"/>
          <w:lang w:eastAsia="ja-JP"/>
          <w14:ligatures w14:val="none"/>
        </w:rPr>
        <w:t>タイムリー</w:t>
      </w:r>
      <w:r w:rsidRPr="00C06E12">
        <w:rPr>
          <w:rFonts w:ascii="ＭＳ 明朝" w:eastAsia="ＭＳ 明朝" w:hAnsi="ＭＳ 明朝" w:cs="ＭＳ Ｐゴシック"/>
          <w:sz w:val="21"/>
          <w:szCs w:val="21"/>
          <w:lang w:eastAsia="ja-JP"/>
          <w14:ligatures w14:val="none"/>
        </w:rPr>
        <w:t>な提供とアクセシビリティが不可欠で</w:t>
      </w:r>
      <w:r w:rsidR="002F7833">
        <w:rPr>
          <w:rFonts w:ascii="ＭＳ 明朝" w:eastAsia="ＭＳ 明朝" w:hAnsi="ＭＳ 明朝" w:cs="ＭＳ Ｐゴシック" w:hint="eastAsia"/>
          <w:sz w:val="21"/>
          <w:szCs w:val="21"/>
          <w:lang w:eastAsia="ja-JP"/>
          <w14:ligatures w14:val="none"/>
        </w:rPr>
        <w:t>す</w:t>
      </w:r>
      <w:r w:rsidRPr="00C06E12">
        <w:rPr>
          <w:rFonts w:ascii="ＭＳ 明朝" w:eastAsia="ＭＳ 明朝" w:hAnsi="ＭＳ 明朝" w:cs="ＭＳ Ｐゴシック"/>
          <w:sz w:val="21"/>
          <w:szCs w:val="21"/>
          <w:lang w:eastAsia="ja-JP"/>
          <w14:ligatures w14:val="none"/>
        </w:rPr>
        <w:t>。</w:t>
      </w:r>
    </w:p>
    <w:p w14:paraId="75559055" w14:textId="24D5244F" w:rsidR="00C06E12" w:rsidRPr="00C06E12" w:rsidRDefault="00C06E12" w:rsidP="00C06E12">
      <w:pPr>
        <w:spacing w:before="100" w:beforeAutospacing="1" w:after="100" w:afterAutospacing="1" w:line="240" w:lineRule="auto"/>
        <w:ind w:firstLineChars="100" w:firstLine="210"/>
        <w:rPr>
          <w:rFonts w:ascii="ＭＳ 明朝" w:eastAsia="ＭＳ 明朝" w:hAnsi="ＭＳ 明朝" w:cs="ＭＳ Ｐゴシック"/>
          <w:sz w:val="21"/>
          <w:szCs w:val="21"/>
          <w:lang w:eastAsia="ja-JP"/>
          <w14:ligatures w14:val="none"/>
        </w:rPr>
      </w:pPr>
      <w:r w:rsidRPr="00C06E12">
        <w:rPr>
          <w:rFonts w:ascii="ＭＳ 明朝" w:eastAsia="ＭＳ 明朝" w:hAnsi="ＭＳ 明朝" w:cs="ＭＳ Ｐゴシック"/>
          <w:sz w:val="21"/>
          <w:szCs w:val="21"/>
          <w:lang w:eastAsia="ja-JP"/>
          <w14:ligatures w14:val="none"/>
        </w:rPr>
        <w:t>最後に、IDA は、具体的な権利の詳細な検討に進む前に、まず条約の概念的枠組み、指針となる原則、および全体的な範囲</w:t>
      </w:r>
      <w:r w:rsidR="00B07331">
        <w:rPr>
          <w:rFonts w:ascii="ＭＳ 明朝" w:eastAsia="ＭＳ 明朝" w:hAnsi="ＭＳ 明朝" w:cs="ＭＳ Ｐゴシック" w:hint="eastAsia"/>
          <w:sz w:val="21"/>
          <w:szCs w:val="21"/>
          <w:lang w:eastAsia="ja-JP"/>
          <w14:ligatures w14:val="none"/>
        </w:rPr>
        <w:t>を取り上げる</w:t>
      </w:r>
      <w:r w:rsidRPr="00C06E12">
        <w:rPr>
          <w:rFonts w:ascii="ＭＳ 明朝" w:eastAsia="ＭＳ 明朝" w:hAnsi="ＭＳ 明朝" w:cs="ＭＳ Ｐゴシック"/>
          <w:sz w:val="21"/>
          <w:szCs w:val="21"/>
          <w:lang w:eastAsia="ja-JP"/>
          <w14:ligatures w14:val="none"/>
        </w:rPr>
        <w:t>、よく構成されたプロセスの重要性を強調</w:t>
      </w:r>
      <w:r w:rsidR="002F7833">
        <w:rPr>
          <w:rFonts w:ascii="ＭＳ 明朝" w:eastAsia="ＭＳ 明朝" w:hAnsi="ＭＳ 明朝" w:cs="ＭＳ Ｐゴシック" w:hint="eastAsia"/>
          <w:sz w:val="21"/>
          <w:szCs w:val="21"/>
          <w:lang w:eastAsia="ja-JP"/>
          <w14:ligatures w14:val="none"/>
        </w:rPr>
        <w:t>します</w:t>
      </w:r>
      <w:r w:rsidRPr="00C06E12">
        <w:rPr>
          <w:rFonts w:ascii="ＭＳ 明朝" w:eastAsia="ＭＳ 明朝" w:hAnsi="ＭＳ 明朝" w:cs="ＭＳ Ｐゴシック"/>
          <w:sz w:val="21"/>
          <w:szCs w:val="21"/>
          <w:lang w:eastAsia="ja-JP"/>
          <w14:ligatures w14:val="none"/>
        </w:rPr>
        <w:t>。CRPD第3条に反映されている原則、すなわち、固有の尊厳、自己決定の自由を含む個人の自律</w:t>
      </w:r>
      <w:r w:rsidR="00B07331">
        <w:rPr>
          <w:rFonts w:ascii="ＭＳ 明朝" w:eastAsia="ＭＳ 明朝" w:hAnsi="ＭＳ 明朝" w:cs="ＭＳ Ｐゴシック" w:hint="eastAsia"/>
          <w:sz w:val="21"/>
          <w:szCs w:val="21"/>
          <w:lang w:eastAsia="ja-JP"/>
          <w14:ligatures w14:val="none"/>
        </w:rPr>
        <w:t>、</w:t>
      </w:r>
      <w:r w:rsidRPr="00C06E12">
        <w:rPr>
          <w:rFonts w:ascii="ＭＳ 明朝" w:eastAsia="ＭＳ 明朝" w:hAnsi="ＭＳ 明朝" w:cs="ＭＳ Ｐゴシック"/>
          <w:sz w:val="21"/>
          <w:szCs w:val="21"/>
          <w:lang w:eastAsia="ja-JP"/>
          <w14:ligatures w14:val="none"/>
        </w:rPr>
        <w:t>および自立</w:t>
      </w:r>
      <w:r w:rsidR="00B07331" w:rsidRPr="00C06E12">
        <w:rPr>
          <w:rFonts w:ascii="ＭＳ 明朝" w:eastAsia="ＭＳ 明朝" w:hAnsi="ＭＳ 明朝" w:cs="ＭＳ Ｐゴシック"/>
          <w:sz w:val="21"/>
          <w:szCs w:val="21"/>
          <w:lang w:eastAsia="ja-JP"/>
          <w14:ligatures w14:val="none"/>
        </w:rPr>
        <w:t>の尊重</w:t>
      </w:r>
      <w:r w:rsidRPr="00C06E12">
        <w:rPr>
          <w:rFonts w:ascii="ＭＳ 明朝" w:eastAsia="ＭＳ 明朝" w:hAnsi="ＭＳ 明朝" w:cs="ＭＳ Ｐゴシック"/>
          <w:sz w:val="21"/>
          <w:szCs w:val="21"/>
          <w:lang w:eastAsia="ja-JP"/>
          <w14:ligatures w14:val="none"/>
        </w:rPr>
        <w:t>、社会への完全かつ効果的な参加と包摂、そして差異の尊重および障害</w:t>
      </w:r>
      <w:r>
        <w:rPr>
          <w:rFonts w:ascii="ＭＳ 明朝" w:eastAsia="ＭＳ 明朝" w:hAnsi="ＭＳ 明朝" w:cs="ＭＳ Ｐゴシック" w:hint="eastAsia"/>
          <w:sz w:val="21"/>
          <w:szCs w:val="21"/>
          <w:lang w:eastAsia="ja-JP"/>
          <w14:ligatures w14:val="none"/>
        </w:rPr>
        <w:t>のある人</w:t>
      </w:r>
      <w:r w:rsidRPr="00C06E12">
        <w:rPr>
          <w:rFonts w:ascii="ＭＳ 明朝" w:eastAsia="ＭＳ 明朝" w:hAnsi="ＭＳ 明朝" w:cs="ＭＳ Ｐゴシック"/>
          <w:sz w:val="21"/>
          <w:szCs w:val="21"/>
          <w:lang w:eastAsia="ja-JP"/>
          <w14:ligatures w14:val="none"/>
        </w:rPr>
        <w:t>を人類の多様性の一部として受け入れること、これらが今後の作業の指針となるべきです。</w:t>
      </w:r>
    </w:p>
    <w:p w14:paraId="6E8F04FD" w14:textId="77777777" w:rsidR="00C06E12" w:rsidRPr="00C06E12" w:rsidRDefault="00C06E12" w:rsidP="00C06E12">
      <w:pPr>
        <w:spacing w:before="100" w:beforeAutospacing="1" w:after="100" w:afterAutospacing="1" w:line="240" w:lineRule="auto"/>
        <w:ind w:firstLineChars="100" w:firstLine="210"/>
        <w:rPr>
          <w:rFonts w:ascii="ＭＳ 明朝" w:eastAsia="ＭＳ 明朝" w:hAnsi="ＭＳ 明朝" w:cs="ＭＳ Ｐゴシック"/>
          <w:sz w:val="21"/>
          <w:szCs w:val="21"/>
          <w:lang w:eastAsia="ja-JP"/>
          <w14:ligatures w14:val="none"/>
        </w:rPr>
      </w:pPr>
      <w:r w:rsidRPr="00C06E12">
        <w:rPr>
          <w:rFonts w:ascii="ＭＳ 明朝" w:eastAsia="ＭＳ 明朝" w:hAnsi="ＭＳ 明朝" w:cs="ＭＳ Ｐゴシック"/>
          <w:sz w:val="21"/>
          <w:szCs w:val="21"/>
          <w:lang w:eastAsia="ja-JP"/>
          <w14:ligatures w14:val="none"/>
        </w:rPr>
        <w:t>ご清聴ありがとうございました。</w:t>
      </w:r>
    </w:p>
    <w:p w14:paraId="1CEEE6B7" w14:textId="77777777" w:rsidR="0031196B" w:rsidRDefault="0031196B" w:rsidP="0031196B">
      <w:pPr>
        <w:pStyle w:val="Web"/>
        <w:jc w:val="right"/>
        <w:rPr>
          <w:rFonts w:ascii="ＭＳ 明朝" w:eastAsia="ＭＳ 明朝" w:hAnsi="ＭＳ 明朝"/>
        </w:rPr>
      </w:pPr>
      <w:r w:rsidRPr="001C6C39">
        <w:rPr>
          <w:rFonts w:ascii="ＭＳ 明朝" w:eastAsia="ＭＳ 明朝" w:hAnsi="ＭＳ 明朝" w:hint="eastAsia"/>
        </w:rPr>
        <w:t>（翻訳：佐藤久夫、　　　　）</w:t>
      </w:r>
    </w:p>
    <w:p w14:paraId="7FBF3E57" w14:textId="77777777" w:rsidR="00C06E12" w:rsidRPr="00C06E12" w:rsidRDefault="00C06E12" w:rsidP="00C06E12">
      <w:pPr>
        <w:spacing w:before="100" w:beforeAutospacing="1" w:after="100" w:afterAutospacing="1" w:line="240" w:lineRule="auto"/>
        <w:rPr>
          <w:rFonts w:ascii="ＭＳ 明朝" w:eastAsia="ＭＳ 明朝" w:hAnsi="ＭＳ 明朝" w:cs="ＭＳ Ｐゴシック"/>
          <w:sz w:val="21"/>
          <w:szCs w:val="21"/>
          <w:lang w:eastAsia="ja-JP"/>
          <w14:ligatures w14:val="none"/>
        </w:rPr>
      </w:pPr>
    </w:p>
    <w:p w14:paraId="2B30D50C" w14:textId="77777777" w:rsidR="00C06E12" w:rsidRPr="00C06E12" w:rsidRDefault="00C06E12" w:rsidP="00C06E12">
      <w:pPr>
        <w:pStyle w:val="1"/>
        <w:spacing w:before="0" w:line="360" w:lineRule="auto"/>
        <w:jc w:val="center"/>
        <w:rPr>
          <w:rFonts w:ascii="ＭＳ 明朝" w:eastAsia="ＭＳ 明朝" w:hAnsi="ＭＳ 明朝" w:cstheme="minorHAnsi"/>
          <w:b/>
          <w:bCs/>
          <w:sz w:val="21"/>
          <w:szCs w:val="21"/>
        </w:rPr>
      </w:pPr>
      <w:r w:rsidRPr="00C06E12">
        <w:rPr>
          <w:rFonts w:ascii="ＭＳ 明朝" w:eastAsia="ＭＳ 明朝" w:hAnsi="ＭＳ 明朝" w:cstheme="minorHAnsi"/>
          <w:b/>
          <w:bCs/>
          <w:sz w:val="21"/>
          <w:szCs w:val="21"/>
        </w:rPr>
        <w:t>Statement by Juan Ignacio Pérez Bello, Senior Human Rights Advisor, International Disability Alliance,</w:t>
      </w:r>
    </w:p>
    <w:p w14:paraId="0B6A07A7" w14:textId="77777777" w:rsidR="00C06E12" w:rsidRPr="00C06E12" w:rsidRDefault="00C06E12" w:rsidP="00C06E12">
      <w:pPr>
        <w:pStyle w:val="Web"/>
        <w:spacing w:before="0" w:beforeAutospacing="0" w:after="0" w:afterAutospacing="0" w:line="360" w:lineRule="auto"/>
        <w:jc w:val="both"/>
        <w:rPr>
          <w:rFonts w:ascii="ＭＳ 明朝" w:eastAsia="ＭＳ 明朝" w:hAnsi="ＭＳ 明朝" w:cstheme="minorHAnsi"/>
          <w:color w:val="0E101A"/>
          <w:sz w:val="21"/>
          <w:szCs w:val="21"/>
        </w:rPr>
      </w:pPr>
    </w:p>
    <w:p w14:paraId="7DB4406B" w14:textId="77777777" w:rsidR="00C06E12" w:rsidRPr="00C06E12" w:rsidRDefault="00C06E12" w:rsidP="00C06E12">
      <w:pPr>
        <w:pStyle w:val="Web"/>
        <w:spacing w:before="0" w:beforeAutospacing="0" w:after="0" w:afterAutospacing="0" w:line="360" w:lineRule="auto"/>
        <w:jc w:val="both"/>
        <w:rPr>
          <w:rFonts w:ascii="ＭＳ 明朝" w:eastAsia="ＭＳ 明朝" w:hAnsi="ＭＳ 明朝" w:cstheme="minorHAnsi"/>
          <w:color w:val="0E101A"/>
          <w:sz w:val="21"/>
          <w:szCs w:val="21"/>
        </w:rPr>
      </w:pPr>
      <w:r w:rsidRPr="00C06E12">
        <w:rPr>
          <w:rFonts w:ascii="ＭＳ 明朝" w:eastAsia="ＭＳ 明朝" w:hAnsi="ＭＳ 明朝" w:cstheme="minorHAnsi"/>
          <w:color w:val="0E101A"/>
          <w:sz w:val="21"/>
          <w:szCs w:val="21"/>
        </w:rPr>
        <w:t>Distinguished States representatives, panelists and NGO representatives,</w:t>
      </w:r>
    </w:p>
    <w:p w14:paraId="07185644" w14:textId="77777777" w:rsidR="00C06E12" w:rsidRPr="00C06E12" w:rsidRDefault="00C06E12" w:rsidP="00C06E12">
      <w:pPr>
        <w:pStyle w:val="Web"/>
        <w:spacing w:before="0" w:beforeAutospacing="0" w:after="0" w:afterAutospacing="0" w:line="360" w:lineRule="auto"/>
        <w:jc w:val="both"/>
        <w:rPr>
          <w:rFonts w:ascii="ＭＳ 明朝" w:eastAsia="ＭＳ 明朝" w:hAnsi="ＭＳ 明朝" w:cstheme="minorHAnsi"/>
          <w:color w:val="0E101A"/>
          <w:sz w:val="21"/>
          <w:szCs w:val="21"/>
        </w:rPr>
      </w:pPr>
    </w:p>
    <w:p w14:paraId="4BB218E3" w14:textId="77777777" w:rsidR="00C06E12" w:rsidRPr="00C06E12" w:rsidRDefault="00C06E12" w:rsidP="00C06E12">
      <w:pPr>
        <w:pStyle w:val="Web"/>
        <w:spacing w:before="0" w:beforeAutospacing="0" w:after="0" w:afterAutospacing="0" w:line="360" w:lineRule="auto"/>
        <w:jc w:val="both"/>
        <w:rPr>
          <w:rFonts w:ascii="ＭＳ 明朝" w:eastAsia="ＭＳ 明朝" w:hAnsi="ＭＳ 明朝" w:cstheme="minorHAnsi"/>
          <w:color w:val="0E101A"/>
          <w:sz w:val="21"/>
          <w:szCs w:val="21"/>
        </w:rPr>
      </w:pPr>
      <w:r w:rsidRPr="00C06E12">
        <w:rPr>
          <w:rFonts w:ascii="ＭＳ 明朝" w:eastAsia="ＭＳ 明朝" w:hAnsi="ＭＳ 明朝" w:cstheme="minorHAnsi"/>
          <w:color w:val="0E101A"/>
          <w:sz w:val="21"/>
          <w:szCs w:val="21"/>
        </w:rPr>
        <w:t>I deliver this brief statement on behalf of the International Disability Alliance (IDA), an alliance of 8 global and 6 regional organizations of persons with disabilities, that advocates to uphold the human rights standards enshrined in the UN Convention on the Rights of Persons with Disabilities to enhance inclusion and participation of persons with disabilities in the life of the community on equal basis with others.</w:t>
      </w:r>
    </w:p>
    <w:p w14:paraId="0A71A06C" w14:textId="77777777" w:rsidR="00C06E12" w:rsidRPr="00C06E12" w:rsidRDefault="00C06E12" w:rsidP="00C06E12">
      <w:pPr>
        <w:pStyle w:val="Web"/>
        <w:spacing w:before="0" w:beforeAutospacing="0" w:after="0" w:afterAutospacing="0" w:line="360" w:lineRule="auto"/>
        <w:jc w:val="both"/>
        <w:rPr>
          <w:rFonts w:ascii="ＭＳ 明朝" w:eastAsia="ＭＳ 明朝" w:hAnsi="ＭＳ 明朝" w:cstheme="minorHAnsi"/>
          <w:color w:val="0E101A"/>
          <w:sz w:val="21"/>
          <w:szCs w:val="21"/>
        </w:rPr>
      </w:pPr>
    </w:p>
    <w:p w14:paraId="44240E8D" w14:textId="77777777" w:rsidR="00C06E12" w:rsidRPr="00C06E12" w:rsidRDefault="00C06E12" w:rsidP="00C06E12">
      <w:pPr>
        <w:pStyle w:val="Web"/>
        <w:spacing w:before="0" w:beforeAutospacing="0" w:after="0" w:afterAutospacing="0" w:line="360" w:lineRule="auto"/>
        <w:jc w:val="both"/>
        <w:rPr>
          <w:rFonts w:ascii="ＭＳ 明朝" w:eastAsia="ＭＳ 明朝" w:hAnsi="ＭＳ 明朝" w:cstheme="minorHAnsi"/>
          <w:color w:val="0E101A"/>
          <w:sz w:val="21"/>
          <w:szCs w:val="21"/>
        </w:rPr>
      </w:pPr>
      <w:r w:rsidRPr="00C06E12">
        <w:rPr>
          <w:rFonts w:ascii="ＭＳ 明朝" w:eastAsia="ＭＳ 明朝" w:hAnsi="ＭＳ 明朝" w:cstheme="minorHAnsi"/>
          <w:color w:val="0E101A"/>
          <w:sz w:val="21"/>
          <w:szCs w:val="21"/>
        </w:rPr>
        <w:t>In alignment with other civil society organizations, IDA calls for modalities that ensure meaningful participation of civil society throughout the process, particularly representatives of rights holders in all their diversity, including those with intersecting identities, such as older women and older persons with disabilities. This requires inclusion of right holders and their representative organizations in panels, but also in working groups, drafting sessions, intersessional meetings, etc. To foster genuine dialogue, civil society interventions should not be confined to the end of sessions.</w:t>
      </w:r>
    </w:p>
    <w:p w14:paraId="364EFD5B" w14:textId="77777777" w:rsidR="00C06E12" w:rsidRPr="00C06E12" w:rsidRDefault="00C06E12" w:rsidP="00C06E12">
      <w:pPr>
        <w:pStyle w:val="Web"/>
        <w:spacing w:before="0" w:beforeAutospacing="0" w:after="0" w:afterAutospacing="0" w:line="360" w:lineRule="auto"/>
        <w:jc w:val="both"/>
        <w:rPr>
          <w:rFonts w:ascii="ＭＳ 明朝" w:eastAsia="ＭＳ 明朝" w:hAnsi="ＭＳ 明朝" w:cstheme="minorHAnsi"/>
          <w:color w:val="0E101A"/>
          <w:sz w:val="21"/>
          <w:szCs w:val="21"/>
        </w:rPr>
      </w:pPr>
    </w:p>
    <w:p w14:paraId="0F5A6680" w14:textId="77777777" w:rsidR="00C06E12" w:rsidRPr="00C06E12" w:rsidRDefault="00C06E12" w:rsidP="00C06E12">
      <w:pPr>
        <w:pStyle w:val="Web"/>
        <w:spacing w:before="0" w:beforeAutospacing="0" w:after="0" w:afterAutospacing="0" w:line="360" w:lineRule="auto"/>
        <w:jc w:val="both"/>
        <w:rPr>
          <w:rFonts w:ascii="ＭＳ 明朝" w:eastAsia="ＭＳ 明朝" w:hAnsi="ＭＳ 明朝" w:cstheme="minorHAnsi"/>
          <w:color w:val="0E101A"/>
          <w:sz w:val="21"/>
          <w:szCs w:val="21"/>
        </w:rPr>
      </w:pPr>
      <w:r w:rsidRPr="00C06E12">
        <w:rPr>
          <w:rFonts w:ascii="ＭＳ 明朝" w:eastAsia="ＭＳ 明朝" w:hAnsi="ＭＳ 明朝" w:cstheme="minorHAnsi"/>
          <w:color w:val="0E101A"/>
          <w:sz w:val="21"/>
          <w:szCs w:val="21"/>
        </w:rPr>
        <w:t>For older persons with disabilities, but also older persons not necessarily self-identifying as persons with disabilities, a fully inclusive process requires accessibility services, including captioning, international sign, webcasting, etc., and timely availability and accessibility of relevant information, including in digital accessible formats, Easy to read formats, etc., to prepare contributions properly.</w:t>
      </w:r>
    </w:p>
    <w:p w14:paraId="1A1AF932" w14:textId="77777777" w:rsidR="00C06E12" w:rsidRPr="00C06E12" w:rsidRDefault="00C06E12" w:rsidP="00C06E12">
      <w:pPr>
        <w:pStyle w:val="Web"/>
        <w:spacing w:before="0" w:beforeAutospacing="0" w:after="0" w:afterAutospacing="0" w:line="360" w:lineRule="auto"/>
        <w:jc w:val="both"/>
        <w:rPr>
          <w:rFonts w:ascii="ＭＳ 明朝" w:eastAsia="ＭＳ 明朝" w:hAnsi="ＭＳ 明朝" w:cstheme="minorHAnsi"/>
          <w:color w:val="0E101A"/>
          <w:sz w:val="21"/>
          <w:szCs w:val="21"/>
        </w:rPr>
      </w:pPr>
    </w:p>
    <w:p w14:paraId="17D6AB96" w14:textId="77777777" w:rsidR="00C06E12" w:rsidRPr="00C06E12" w:rsidRDefault="00C06E12" w:rsidP="00C06E12">
      <w:pPr>
        <w:pStyle w:val="Web"/>
        <w:spacing w:before="0" w:beforeAutospacing="0" w:after="0" w:afterAutospacing="0" w:line="360" w:lineRule="auto"/>
        <w:jc w:val="both"/>
        <w:rPr>
          <w:rFonts w:ascii="ＭＳ 明朝" w:eastAsia="ＭＳ 明朝" w:hAnsi="ＭＳ 明朝" w:cstheme="minorHAnsi"/>
          <w:color w:val="0E101A"/>
          <w:sz w:val="21"/>
          <w:szCs w:val="21"/>
        </w:rPr>
      </w:pPr>
      <w:r w:rsidRPr="00C06E12">
        <w:rPr>
          <w:rFonts w:ascii="ＭＳ 明朝" w:eastAsia="ＭＳ 明朝" w:hAnsi="ＭＳ 明朝" w:cstheme="minorHAnsi"/>
          <w:color w:val="0E101A"/>
          <w:sz w:val="21"/>
          <w:szCs w:val="21"/>
        </w:rPr>
        <w:t>Finally, IDA underscores the importance of a well-structured process that first addresses the conceptual framework, guiding principles, and overall scope of the convention before proceeding to detailed consideration of specific rights. Principles reflected in Article 3 of the CRPD— notably the respect for inherent dignity, individual autonomy, including freedom to make one’s own choices and independence; full and effective participation and inclusion in society; and respect for difference and acceptance of persons with disabilities as part of human diversity—should inform the work ahead.</w:t>
      </w:r>
    </w:p>
    <w:p w14:paraId="21816AB7" w14:textId="77777777" w:rsidR="00C06E12" w:rsidRPr="00C06E12" w:rsidRDefault="00C06E12" w:rsidP="00C06E12">
      <w:pPr>
        <w:pStyle w:val="Web"/>
        <w:spacing w:before="0" w:beforeAutospacing="0" w:after="0" w:afterAutospacing="0" w:line="360" w:lineRule="auto"/>
        <w:jc w:val="both"/>
        <w:rPr>
          <w:rFonts w:ascii="ＭＳ 明朝" w:eastAsia="ＭＳ 明朝" w:hAnsi="ＭＳ 明朝" w:cstheme="minorHAnsi"/>
          <w:color w:val="0E101A"/>
          <w:sz w:val="21"/>
          <w:szCs w:val="21"/>
        </w:rPr>
      </w:pPr>
    </w:p>
    <w:p w14:paraId="7CE7C46B" w14:textId="77777777" w:rsidR="00C06E12" w:rsidRPr="00C06E12" w:rsidRDefault="00C06E12" w:rsidP="00C06E12">
      <w:pPr>
        <w:pStyle w:val="Web"/>
        <w:spacing w:before="0" w:beforeAutospacing="0" w:after="0" w:afterAutospacing="0" w:line="360" w:lineRule="auto"/>
        <w:jc w:val="both"/>
        <w:rPr>
          <w:rFonts w:ascii="ＭＳ 明朝" w:eastAsia="ＭＳ 明朝" w:hAnsi="ＭＳ 明朝" w:cstheme="minorHAnsi"/>
          <w:color w:val="0E101A"/>
          <w:sz w:val="21"/>
          <w:szCs w:val="21"/>
        </w:rPr>
      </w:pPr>
      <w:r w:rsidRPr="00C06E12">
        <w:rPr>
          <w:rFonts w:ascii="ＭＳ 明朝" w:eastAsia="ＭＳ 明朝" w:hAnsi="ＭＳ 明朝" w:cstheme="minorHAnsi"/>
          <w:color w:val="0E101A"/>
          <w:sz w:val="21"/>
          <w:szCs w:val="21"/>
        </w:rPr>
        <w:t>Thank you for your attention.</w:t>
      </w:r>
    </w:p>
    <w:p w14:paraId="30978E03" w14:textId="77777777" w:rsidR="00C06E12" w:rsidRPr="00C06E12" w:rsidRDefault="00C06E12">
      <w:pPr>
        <w:rPr>
          <w:rFonts w:ascii="ＭＳ 明朝" w:eastAsia="ＭＳ 明朝" w:hAnsi="ＭＳ 明朝"/>
          <w:sz w:val="21"/>
          <w:szCs w:val="21"/>
          <w:lang w:eastAsia="ja-JP"/>
        </w:rPr>
      </w:pPr>
    </w:p>
    <w:sectPr w:rsidR="00C06E12" w:rsidRPr="00C06E12" w:rsidSect="006A05DC">
      <w:footerReference w:type="even" r:id="rId6"/>
      <w:footerReference w:type="default" r:id="rId7"/>
      <w:footerReference w:type="first" r:id="rId8"/>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1B6E3" w14:textId="77777777" w:rsidR="00C06E12" w:rsidRDefault="00C06E12" w:rsidP="00C06E12">
      <w:pPr>
        <w:spacing w:after="0" w:line="240" w:lineRule="auto"/>
      </w:pPr>
      <w:r>
        <w:separator/>
      </w:r>
    </w:p>
  </w:endnote>
  <w:endnote w:type="continuationSeparator" w:id="0">
    <w:p w14:paraId="02AB27B1" w14:textId="77777777" w:rsidR="00C06E12" w:rsidRDefault="00C06E12" w:rsidP="00C06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240475"/>
      <w:docPartObj>
        <w:docPartGallery w:val="Page Numbers (Bottom of Page)"/>
        <w:docPartUnique/>
      </w:docPartObj>
    </w:sdtPr>
    <w:sdtEndPr/>
    <w:sdtContent>
      <w:p w14:paraId="5758EE29" w14:textId="10B3C8D4" w:rsidR="00C06E12" w:rsidRDefault="00C06E12">
        <w:pPr>
          <w:pStyle w:val="ac"/>
        </w:pPr>
        <w:r>
          <w:fldChar w:fldCharType="begin"/>
        </w:r>
        <w:r>
          <w:instrText>PAGE   \* MERGEFORMAT</w:instrText>
        </w:r>
        <w:r>
          <w:fldChar w:fldCharType="separate"/>
        </w:r>
        <w:r>
          <w:rPr>
            <w:lang w:val="ja-JP" w:eastAsia="ja-JP"/>
          </w:rPr>
          <w:t>2</w:t>
        </w:r>
        <w:r>
          <w:fldChar w:fldCharType="end"/>
        </w:r>
      </w:p>
    </w:sdtContent>
  </w:sdt>
  <w:p w14:paraId="623C7906" w14:textId="77777777" w:rsidR="00C06E12" w:rsidRDefault="00C06E1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808090"/>
      <w:docPartObj>
        <w:docPartGallery w:val="Page Numbers (Bottom of Page)"/>
        <w:docPartUnique/>
      </w:docPartObj>
    </w:sdtPr>
    <w:sdtEndPr/>
    <w:sdtContent>
      <w:p w14:paraId="78085B55" w14:textId="158C2410" w:rsidR="00C06E12" w:rsidRDefault="00C06E12">
        <w:pPr>
          <w:pStyle w:val="ac"/>
        </w:pPr>
        <w:r>
          <w:fldChar w:fldCharType="begin"/>
        </w:r>
        <w:r>
          <w:instrText>PAGE   \* MERGEFORMAT</w:instrText>
        </w:r>
        <w:r>
          <w:fldChar w:fldCharType="separate"/>
        </w:r>
        <w:r>
          <w:rPr>
            <w:lang w:val="ja-JP" w:eastAsia="ja-JP"/>
          </w:rPr>
          <w:t>2</w:t>
        </w:r>
        <w:r>
          <w:fldChar w:fldCharType="end"/>
        </w:r>
      </w:p>
    </w:sdtContent>
  </w:sdt>
  <w:p w14:paraId="0411C90E" w14:textId="77777777" w:rsidR="00C06E12" w:rsidRDefault="00C06E1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193510"/>
      <w:docPartObj>
        <w:docPartGallery w:val="Page Numbers (Bottom of Page)"/>
        <w:docPartUnique/>
      </w:docPartObj>
    </w:sdtPr>
    <w:sdtEndPr/>
    <w:sdtContent>
      <w:p w14:paraId="61B9FB27" w14:textId="09533077" w:rsidR="00C06E12" w:rsidRDefault="00C06E12">
        <w:pPr>
          <w:pStyle w:val="ac"/>
        </w:pPr>
        <w:r>
          <w:fldChar w:fldCharType="begin"/>
        </w:r>
        <w:r>
          <w:instrText>PAGE   \* MERGEFORMAT</w:instrText>
        </w:r>
        <w:r>
          <w:fldChar w:fldCharType="separate"/>
        </w:r>
        <w:r>
          <w:rPr>
            <w:lang w:val="ja-JP" w:eastAsia="ja-JP"/>
          </w:rPr>
          <w:t>2</w:t>
        </w:r>
        <w:r>
          <w:fldChar w:fldCharType="end"/>
        </w:r>
      </w:p>
    </w:sdtContent>
  </w:sdt>
  <w:p w14:paraId="6402FD3D" w14:textId="77777777" w:rsidR="00C06E12" w:rsidRDefault="00C06E1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62F50" w14:textId="77777777" w:rsidR="00C06E12" w:rsidRDefault="00C06E12" w:rsidP="00C06E12">
      <w:pPr>
        <w:spacing w:after="0" w:line="240" w:lineRule="auto"/>
      </w:pPr>
      <w:r>
        <w:separator/>
      </w:r>
    </w:p>
  </w:footnote>
  <w:footnote w:type="continuationSeparator" w:id="0">
    <w:p w14:paraId="1EA6B7ED" w14:textId="77777777" w:rsidR="00C06E12" w:rsidRDefault="00C06E12" w:rsidP="00C06E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12"/>
    <w:rsid w:val="000B2AFD"/>
    <w:rsid w:val="00152B39"/>
    <w:rsid w:val="0026263F"/>
    <w:rsid w:val="002F7833"/>
    <w:rsid w:val="0031196B"/>
    <w:rsid w:val="003126F0"/>
    <w:rsid w:val="003A6E34"/>
    <w:rsid w:val="00684DBA"/>
    <w:rsid w:val="00692D7C"/>
    <w:rsid w:val="006A05DC"/>
    <w:rsid w:val="0070471F"/>
    <w:rsid w:val="00A63347"/>
    <w:rsid w:val="00AF582A"/>
    <w:rsid w:val="00B07331"/>
    <w:rsid w:val="00B37471"/>
    <w:rsid w:val="00C06E12"/>
    <w:rsid w:val="00D61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1E7539"/>
  <w15:chartTrackingRefBased/>
  <w15:docId w15:val="{4B66CA1D-09FF-4B36-BD13-E22428E2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E12"/>
    <w:pPr>
      <w:spacing w:after="160" w:line="259" w:lineRule="auto"/>
    </w:pPr>
    <w:rPr>
      <w:kern w:val="0"/>
      <w:sz w:val="22"/>
      <w:lang w:val="en-US" w:eastAsia="en-US"/>
    </w:rPr>
  </w:style>
  <w:style w:type="paragraph" w:styleId="1">
    <w:name w:val="heading 1"/>
    <w:basedOn w:val="a"/>
    <w:next w:val="a"/>
    <w:link w:val="10"/>
    <w:uiPriority w:val="9"/>
    <w:qFormat/>
    <w:rsid w:val="00C06E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6E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6E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06E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6E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6E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6E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6E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6E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6E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6E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6E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6E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6E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6E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6E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6E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6E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6E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6E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6E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6E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6E12"/>
    <w:pPr>
      <w:spacing w:before="160"/>
      <w:jc w:val="center"/>
    </w:pPr>
    <w:rPr>
      <w:i/>
      <w:iCs/>
      <w:color w:val="404040" w:themeColor="text1" w:themeTint="BF"/>
    </w:rPr>
  </w:style>
  <w:style w:type="character" w:customStyle="1" w:styleId="a8">
    <w:name w:val="引用文 (文字)"/>
    <w:basedOn w:val="a0"/>
    <w:link w:val="a7"/>
    <w:uiPriority w:val="29"/>
    <w:rsid w:val="00C06E12"/>
    <w:rPr>
      <w:i/>
      <w:iCs/>
      <w:color w:val="404040" w:themeColor="text1" w:themeTint="BF"/>
    </w:rPr>
  </w:style>
  <w:style w:type="paragraph" w:styleId="a9">
    <w:name w:val="List Paragraph"/>
    <w:basedOn w:val="a"/>
    <w:uiPriority w:val="34"/>
    <w:qFormat/>
    <w:rsid w:val="00C06E12"/>
    <w:pPr>
      <w:ind w:left="720"/>
      <w:contextualSpacing/>
    </w:pPr>
  </w:style>
  <w:style w:type="character" w:styleId="21">
    <w:name w:val="Intense Emphasis"/>
    <w:basedOn w:val="a0"/>
    <w:uiPriority w:val="21"/>
    <w:qFormat/>
    <w:rsid w:val="00C06E12"/>
    <w:rPr>
      <w:i/>
      <w:iCs/>
      <w:color w:val="2F5496" w:themeColor="accent1" w:themeShade="BF"/>
    </w:rPr>
  </w:style>
  <w:style w:type="paragraph" w:styleId="22">
    <w:name w:val="Intense Quote"/>
    <w:basedOn w:val="a"/>
    <w:next w:val="a"/>
    <w:link w:val="23"/>
    <w:uiPriority w:val="30"/>
    <w:qFormat/>
    <w:rsid w:val="00C06E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06E12"/>
    <w:rPr>
      <w:i/>
      <w:iCs/>
      <w:color w:val="2F5496" w:themeColor="accent1" w:themeShade="BF"/>
    </w:rPr>
  </w:style>
  <w:style w:type="character" w:styleId="24">
    <w:name w:val="Intense Reference"/>
    <w:basedOn w:val="a0"/>
    <w:uiPriority w:val="32"/>
    <w:qFormat/>
    <w:rsid w:val="00C06E12"/>
    <w:rPr>
      <w:b/>
      <w:bCs/>
      <w:smallCaps/>
      <w:color w:val="2F5496" w:themeColor="accent1" w:themeShade="BF"/>
      <w:spacing w:val="5"/>
    </w:rPr>
  </w:style>
  <w:style w:type="paragraph" w:styleId="Web">
    <w:name w:val="Normal (Web)"/>
    <w:basedOn w:val="a"/>
    <w:uiPriority w:val="99"/>
    <w:unhideWhenUsed/>
    <w:rsid w:val="00C06E12"/>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unhideWhenUsed/>
    <w:rsid w:val="00C06E12"/>
    <w:pPr>
      <w:tabs>
        <w:tab w:val="center" w:pos="4252"/>
        <w:tab w:val="right" w:pos="8504"/>
      </w:tabs>
      <w:snapToGrid w:val="0"/>
    </w:pPr>
  </w:style>
  <w:style w:type="character" w:customStyle="1" w:styleId="ab">
    <w:name w:val="ヘッダー (文字)"/>
    <w:basedOn w:val="a0"/>
    <w:link w:val="aa"/>
    <w:uiPriority w:val="99"/>
    <w:rsid w:val="00C06E12"/>
    <w:rPr>
      <w:kern w:val="0"/>
      <w:sz w:val="22"/>
      <w:lang w:val="en-US" w:eastAsia="en-US"/>
    </w:rPr>
  </w:style>
  <w:style w:type="paragraph" w:styleId="ac">
    <w:name w:val="footer"/>
    <w:basedOn w:val="a"/>
    <w:link w:val="ad"/>
    <w:uiPriority w:val="99"/>
    <w:unhideWhenUsed/>
    <w:rsid w:val="00C06E12"/>
    <w:pPr>
      <w:tabs>
        <w:tab w:val="center" w:pos="4252"/>
        <w:tab w:val="right" w:pos="8504"/>
      </w:tabs>
      <w:snapToGrid w:val="0"/>
    </w:pPr>
  </w:style>
  <w:style w:type="character" w:customStyle="1" w:styleId="ad">
    <w:name w:val="フッター (文字)"/>
    <w:basedOn w:val="a0"/>
    <w:link w:val="ac"/>
    <w:uiPriority w:val="99"/>
    <w:rsid w:val="00C06E12"/>
    <w:rPr>
      <w:kern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465</Words>
  <Characters>2652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2</cp:revision>
  <dcterms:created xsi:type="dcterms:W3CDTF">2026-05-10T03:47:00Z</dcterms:created>
  <dcterms:modified xsi:type="dcterms:W3CDTF">2026-05-10T03:47:00Z</dcterms:modified>
</cp:coreProperties>
</file>