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2338" w14:textId="77777777" w:rsidR="00AE5A2E" w:rsidRDefault="00AE5A2E" w:rsidP="00AE5A2E">
      <w:pPr>
        <w:pStyle w:val="Web"/>
        <w:spacing w:after="0" w:afterAutospacing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議題5　一般的意見</w:t>
      </w:r>
    </w:p>
    <w:p w14:paraId="186B8264" w14:textId="77777777" w:rsidR="00AE5A2E" w:rsidRDefault="00AE5A2E" w:rsidP="00EF5F03">
      <w:pPr>
        <w:pStyle w:val="Web"/>
        <w:rPr>
          <w:rFonts w:ascii="BIZ UDPゴシック" w:eastAsia="BIZ UDPゴシック" w:hAnsi="BIZ UDPゴシック"/>
        </w:rPr>
      </w:pPr>
    </w:p>
    <w:p w14:paraId="3CCB0F95" w14:textId="7D64A06D" w:rsidR="00EF5F03" w:rsidRPr="00EF5F03" w:rsidRDefault="00EF5F03" w:rsidP="00EF5F03">
      <w:pPr>
        <w:pStyle w:val="Web"/>
        <w:rPr>
          <w:rFonts w:ascii="BIZ UDPゴシック" w:eastAsia="BIZ UDPゴシック" w:hAnsi="BIZ UDPゴシック"/>
        </w:rPr>
      </w:pPr>
      <w:r w:rsidRPr="00EF5F03">
        <w:rPr>
          <w:rFonts w:ascii="BIZ UDPゴシック" w:eastAsia="BIZ UDPゴシック" w:hAnsi="BIZ UDPゴシック"/>
        </w:rPr>
        <w:t>ヘルプエイジ・インターナショナル</w:t>
      </w:r>
    </w:p>
    <w:p w14:paraId="0337FDA7" w14:textId="77777777" w:rsidR="00EF5F03" w:rsidRPr="00EF5F03" w:rsidRDefault="00EF5F03" w:rsidP="00EF5F03">
      <w:pPr>
        <w:pStyle w:val="Web"/>
        <w:rPr>
          <w:rFonts w:ascii="ＭＳ 明朝" w:eastAsia="ＭＳ 明朝" w:hAnsi="ＭＳ 明朝"/>
          <w:sz w:val="21"/>
          <w:szCs w:val="21"/>
        </w:rPr>
      </w:pPr>
    </w:p>
    <w:p w14:paraId="31E50B53" w14:textId="3FC001D7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議長、ありがとうございます。</w:t>
      </w:r>
    </w:p>
    <w:p w14:paraId="2B0E1969" w14:textId="1CA523A8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高齢者の権利</w:t>
      </w:r>
      <w:r>
        <w:rPr>
          <w:rFonts w:ascii="ＭＳ 明朝" w:eastAsia="ＭＳ 明朝" w:hAnsi="ＭＳ 明朝" w:hint="eastAsia"/>
          <w:sz w:val="21"/>
          <w:szCs w:val="21"/>
        </w:rPr>
        <w:t>世界連合（</w:t>
      </w:r>
      <w:r w:rsidRPr="00EF5F03">
        <w:rPr>
          <w:rFonts w:ascii="ＭＳ 明朝" w:eastAsia="ＭＳ 明朝" w:hAnsi="ＭＳ 明朝"/>
          <w:sz w:val="21"/>
          <w:szCs w:val="21"/>
        </w:rPr>
        <w:t>Global Alliance for the Rights of Older People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  <w:r w:rsidRPr="00EF5F03">
        <w:rPr>
          <w:rFonts w:ascii="ＭＳ 明朝" w:eastAsia="ＭＳ 明朝" w:hAnsi="ＭＳ 明朝"/>
          <w:sz w:val="21"/>
          <w:szCs w:val="21"/>
        </w:rPr>
        <w:t>の一員として、当団体は同</w:t>
      </w:r>
      <w:r>
        <w:rPr>
          <w:rFonts w:ascii="ＭＳ 明朝" w:eastAsia="ＭＳ 明朝" w:hAnsi="ＭＳ 明朝" w:hint="eastAsia"/>
          <w:sz w:val="21"/>
          <w:szCs w:val="21"/>
        </w:rPr>
        <w:t>連合</w:t>
      </w:r>
      <w:r w:rsidRPr="00EF5F03">
        <w:rPr>
          <w:rFonts w:ascii="ＭＳ 明朝" w:eastAsia="ＭＳ 明朝" w:hAnsi="ＭＳ 明朝"/>
          <w:sz w:val="21"/>
          <w:szCs w:val="21"/>
        </w:rPr>
        <w:t>を代表して提出された声明に賛同します。</w:t>
      </w:r>
    </w:p>
    <w:p w14:paraId="0CD81E26" w14:textId="359D2DBB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昨年4月、高齢者の権利に関する新たな条約を策定するため、本作業部会を設置するという決定がなされ、これは画期的な出来事となりました。</w:t>
      </w:r>
    </w:p>
    <w:p w14:paraId="3374257E" w14:textId="06F33CA5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本作業部会の構成と運営の在り方が、将来の条約</w:t>
      </w:r>
      <w:r>
        <w:rPr>
          <w:rFonts w:ascii="ＭＳ 明朝" w:eastAsia="ＭＳ 明朝" w:hAnsi="ＭＳ 明朝" w:hint="eastAsia"/>
          <w:sz w:val="21"/>
          <w:szCs w:val="21"/>
        </w:rPr>
        <w:t>の</w:t>
      </w:r>
      <w:r w:rsidRPr="00EF5F03">
        <w:rPr>
          <w:rFonts w:ascii="ＭＳ 明朝" w:eastAsia="ＭＳ 明朝" w:hAnsi="ＭＳ 明朝"/>
          <w:sz w:val="21"/>
          <w:szCs w:val="21"/>
        </w:rPr>
        <w:t>信頼性、</w:t>
      </w:r>
      <w:r>
        <w:rPr>
          <w:rFonts w:ascii="ＭＳ 明朝" w:eastAsia="ＭＳ 明朝" w:hAnsi="ＭＳ 明朝" w:hint="eastAsia"/>
          <w:sz w:val="21"/>
          <w:szCs w:val="21"/>
        </w:rPr>
        <w:t>包摂性および</w:t>
      </w:r>
      <w:r w:rsidRPr="00EF5F03">
        <w:rPr>
          <w:rFonts w:ascii="ＭＳ 明朝" w:eastAsia="ＭＳ 明朝" w:hAnsi="ＭＳ 明朝"/>
          <w:sz w:val="21"/>
          <w:szCs w:val="21"/>
        </w:rPr>
        <w:t>効果的なもの</w:t>
      </w:r>
      <w:r w:rsidR="0084189D">
        <w:rPr>
          <w:rFonts w:ascii="ＭＳ 明朝" w:eastAsia="ＭＳ 明朝" w:hAnsi="ＭＳ 明朝" w:hint="eastAsia"/>
          <w:sz w:val="21"/>
          <w:szCs w:val="21"/>
        </w:rPr>
        <w:t>になるかどうかを</w:t>
      </w:r>
      <w:r w:rsidRPr="00EF5F03">
        <w:rPr>
          <w:rFonts w:ascii="ＭＳ 明朝" w:eastAsia="ＭＳ 明朝" w:hAnsi="ＭＳ 明朝"/>
          <w:sz w:val="21"/>
          <w:szCs w:val="21"/>
        </w:rPr>
        <w:t>決定</w:t>
      </w:r>
      <w:r w:rsidR="0084189D">
        <w:rPr>
          <w:rFonts w:ascii="ＭＳ 明朝" w:eastAsia="ＭＳ 明朝" w:hAnsi="ＭＳ 明朝" w:hint="eastAsia"/>
          <w:sz w:val="21"/>
          <w:szCs w:val="21"/>
        </w:rPr>
        <w:t>し</w:t>
      </w:r>
      <w:r w:rsidRPr="00EF5F03">
        <w:rPr>
          <w:rFonts w:ascii="ＭＳ 明朝" w:eastAsia="ＭＳ 明朝" w:hAnsi="ＭＳ 明朝"/>
          <w:sz w:val="21"/>
          <w:szCs w:val="21"/>
        </w:rPr>
        <w:t>ます。</w:t>
      </w:r>
    </w:p>
    <w:p w14:paraId="67B3A576" w14:textId="0C36701F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第一に、その運営方法は、市民社会、とりわけ高齢者およびその代表組織が、発言時間が保証され、ハイブリッド形式での作業を通じて、すべての</w:t>
      </w:r>
      <w:r w:rsidR="0084189D">
        <w:rPr>
          <w:rFonts w:ascii="ＭＳ 明朝" w:eastAsia="ＭＳ 明朝" w:hAnsi="ＭＳ 明朝" w:hint="eastAsia"/>
          <w:sz w:val="21"/>
          <w:szCs w:val="21"/>
        </w:rPr>
        <w:t>会合</w:t>
      </w:r>
      <w:r w:rsidRPr="00EF5F03">
        <w:rPr>
          <w:rFonts w:ascii="ＭＳ 明朝" w:eastAsia="ＭＳ 明朝" w:hAnsi="ＭＳ 明朝"/>
          <w:sz w:val="21"/>
          <w:szCs w:val="21"/>
        </w:rPr>
        <w:t>、</w:t>
      </w:r>
      <w:r w:rsidR="0084189D">
        <w:rPr>
          <w:rFonts w:ascii="ＭＳ 明朝" w:eastAsia="ＭＳ 明朝" w:hAnsi="ＭＳ 明朝" w:hint="eastAsia"/>
          <w:sz w:val="21"/>
          <w:szCs w:val="21"/>
        </w:rPr>
        <w:t>委員会</w:t>
      </w:r>
      <w:r w:rsidRPr="00EF5F03">
        <w:rPr>
          <w:rFonts w:ascii="ＭＳ 明朝" w:eastAsia="ＭＳ 明朝" w:hAnsi="ＭＳ 明朝"/>
          <w:sz w:val="21"/>
          <w:szCs w:val="21"/>
        </w:rPr>
        <w:t>、</w:t>
      </w:r>
      <w:r w:rsidR="0084189D">
        <w:rPr>
          <w:rFonts w:ascii="ＭＳ 明朝" w:eastAsia="ＭＳ 明朝" w:hAnsi="ＭＳ 明朝" w:hint="eastAsia"/>
          <w:sz w:val="21"/>
          <w:szCs w:val="21"/>
        </w:rPr>
        <w:t>分科会</w:t>
      </w:r>
      <w:r w:rsidRPr="00EF5F03">
        <w:rPr>
          <w:rFonts w:ascii="ＭＳ 明朝" w:eastAsia="ＭＳ 明朝" w:hAnsi="ＭＳ 明朝"/>
          <w:sz w:val="21"/>
          <w:szCs w:val="21"/>
        </w:rPr>
        <w:t>に直接かつ有意義に参加できるよう確保すべきです。</w:t>
      </w:r>
    </w:p>
    <w:p w14:paraId="2818A63A" w14:textId="098DA448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我々は、これまでにこの点で、特に本会合に</w:t>
      </w:r>
      <w:r w:rsidR="0084189D">
        <w:rPr>
          <w:rFonts w:ascii="ＭＳ 明朝" w:eastAsia="ＭＳ 明朝" w:hAnsi="ＭＳ 明朝" w:hint="eastAsia"/>
          <w:sz w:val="21"/>
          <w:szCs w:val="21"/>
        </w:rPr>
        <w:t>おいて</w:t>
      </w:r>
      <w:r w:rsidRPr="00EF5F03">
        <w:rPr>
          <w:rFonts w:ascii="ＭＳ 明朝" w:eastAsia="ＭＳ 明朝" w:hAnsi="ＭＳ 明朝"/>
          <w:sz w:val="21"/>
          <w:szCs w:val="21"/>
        </w:rPr>
        <w:t>ECOSOC</w:t>
      </w:r>
      <w:r w:rsidR="0084189D">
        <w:rPr>
          <w:rFonts w:ascii="ＭＳ 明朝" w:eastAsia="ＭＳ 明朝" w:hAnsi="ＭＳ 明朝" w:hint="eastAsia"/>
          <w:sz w:val="21"/>
          <w:szCs w:val="21"/>
        </w:rPr>
        <w:t>（国連経済社会理事会）の協議資格のない団体に</w:t>
      </w:r>
      <w:r w:rsidRPr="00EF5F03">
        <w:rPr>
          <w:rFonts w:ascii="ＭＳ 明朝" w:eastAsia="ＭＳ 明朝" w:hAnsi="ＭＳ 明朝"/>
          <w:sz w:val="21"/>
          <w:szCs w:val="21"/>
        </w:rPr>
        <w:t>参加資格</w:t>
      </w:r>
      <w:r w:rsidR="0084189D">
        <w:rPr>
          <w:rFonts w:ascii="ＭＳ 明朝" w:eastAsia="ＭＳ 明朝" w:hAnsi="ＭＳ 明朝" w:hint="eastAsia"/>
          <w:sz w:val="21"/>
          <w:szCs w:val="21"/>
        </w:rPr>
        <w:t>を認めていること</w:t>
      </w:r>
      <w:r w:rsidRPr="00EF5F03">
        <w:rPr>
          <w:rFonts w:ascii="ＭＳ 明朝" w:eastAsia="ＭＳ 明朝" w:hAnsi="ＭＳ 明朝"/>
          <w:sz w:val="21"/>
          <w:szCs w:val="21"/>
        </w:rPr>
        <w:t>を</w:t>
      </w:r>
      <w:r w:rsidR="0084189D">
        <w:rPr>
          <w:rFonts w:ascii="ＭＳ 明朝" w:eastAsia="ＭＳ 明朝" w:hAnsi="ＭＳ 明朝" w:hint="eastAsia"/>
          <w:sz w:val="21"/>
          <w:szCs w:val="21"/>
        </w:rPr>
        <w:t>知っています</w:t>
      </w:r>
      <w:r w:rsidRPr="00EF5F03">
        <w:rPr>
          <w:rFonts w:ascii="ＭＳ 明朝" w:eastAsia="ＭＳ 明朝" w:hAnsi="ＭＳ 明朝"/>
          <w:sz w:val="21"/>
          <w:szCs w:val="21"/>
        </w:rPr>
        <w:t>。</w:t>
      </w:r>
    </w:p>
    <w:p w14:paraId="280BE67F" w14:textId="0F9FEB33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第二に、市民社会は、</w:t>
      </w:r>
      <w:r w:rsidR="000410A8" w:rsidRPr="00EF5F03">
        <w:rPr>
          <w:rFonts w:ascii="ＭＳ 明朝" w:eastAsia="ＭＳ 明朝" w:hAnsi="ＭＳ 明朝"/>
          <w:sz w:val="21"/>
          <w:szCs w:val="21"/>
        </w:rPr>
        <w:t>透明かつ包摂的な方法で自主的に</w:t>
      </w:r>
      <w:r w:rsidR="000410A8">
        <w:rPr>
          <w:rFonts w:ascii="ＭＳ 明朝" w:eastAsia="ＭＳ 明朝" w:hAnsi="ＭＳ 明朝" w:hint="eastAsia"/>
          <w:sz w:val="21"/>
          <w:szCs w:val="21"/>
        </w:rPr>
        <w:t>活動</w:t>
      </w:r>
      <w:r w:rsidR="000410A8" w:rsidRPr="00EF5F03">
        <w:rPr>
          <w:rFonts w:ascii="ＭＳ 明朝" w:eastAsia="ＭＳ 明朝" w:hAnsi="ＭＳ 明朝"/>
          <w:sz w:val="21"/>
          <w:szCs w:val="21"/>
        </w:rPr>
        <w:t>できる必要があ</w:t>
      </w:r>
      <w:r w:rsidR="000410A8">
        <w:rPr>
          <w:rFonts w:ascii="ＭＳ 明朝" w:eastAsia="ＭＳ 明朝" w:hAnsi="ＭＳ 明朝" w:hint="eastAsia"/>
          <w:sz w:val="21"/>
          <w:szCs w:val="21"/>
        </w:rPr>
        <w:t>ります。その際、</w:t>
      </w:r>
      <w:r w:rsidRPr="00EF5F03">
        <w:rPr>
          <w:rFonts w:ascii="ＭＳ 明朝" w:eastAsia="ＭＳ 明朝" w:hAnsi="ＭＳ 明朝"/>
          <w:sz w:val="21"/>
          <w:szCs w:val="21"/>
        </w:rPr>
        <w:t>地理的バランスと多様性を確保しつつ、高齢者自身の声を最優先し</w:t>
      </w:r>
      <w:r w:rsidR="000410A8">
        <w:rPr>
          <w:rFonts w:ascii="ＭＳ 明朝" w:eastAsia="ＭＳ 明朝" w:hAnsi="ＭＳ 明朝" w:hint="eastAsia"/>
          <w:sz w:val="21"/>
          <w:szCs w:val="21"/>
        </w:rPr>
        <w:t>ます</w:t>
      </w:r>
      <w:r w:rsidRPr="00EF5F03">
        <w:rPr>
          <w:rFonts w:ascii="ＭＳ 明朝" w:eastAsia="ＭＳ 明朝" w:hAnsi="ＭＳ 明朝"/>
          <w:sz w:val="21"/>
          <w:szCs w:val="21"/>
        </w:rPr>
        <w:t>。</w:t>
      </w:r>
    </w:p>
    <w:p w14:paraId="0369F17B" w14:textId="013770A8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最後に、既存の人権を再確認しつつ、高齢者が直面する具体的かつ交差する形態の差別に対処する、</w:t>
      </w:r>
      <w:r w:rsidR="000410A8">
        <w:rPr>
          <w:rFonts w:ascii="ＭＳ 明朝" w:eastAsia="ＭＳ 明朝" w:hAnsi="ＭＳ 明朝" w:hint="eastAsia"/>
          <w:sz w:val="21"/>
          <w:szCs w:val="21"/>
        </w:rPr>
        <w:t>総合的で</w:t>
      </w:r>
      <w:r w:rsidRPr="00EF5F03">
        <w:rPr>
          <w:rFonts w:ascii="ＭＳ 明朝" w:eastAsia="ＭＳ 明朝" w:hAnsi="ＭＳ 明朝"/>
          <w:sz w:val="21"/>
          <w:szCs w:val="21"/>
        </w:rPr>
        <w:t>変革的な条約</w:t>
      </w:r>
      <w:r w:rsidR="000410A8">
        <w:rPr>
          <w:rFonts w:ascii="ＭＳ 明朝" w:eastAsia="ＭＳ 明朝" w:hAnsi="ＭＳ 明朝" w:hint="eastAsia"/>
          <w:sz w:val="21"/>
          <w:szCs w:val="21"/>
        </w:rPr>
        <w:t>と</w:t>
      </w:r>
      <w:r w:rsidRPr="00EF5F03">
        <w:rPr>
          <w:rFonts w:ascii="ＭＳ 明朝" w:eastAsia="ＭＳ 明朝" w:hAnsi="ＭＳ 明朝"/>
          <w:sz w:val="21"/>
          <w:szCs w:val="21"/>
        </w:rPr>
        <w:t>するため、我々は作業部会</w:t>
      </w:r>
      <w:r w:rsidR="000410A8">
        <w:rPr>
          <w:rFonts w:ascii="ＭＳ 明朝" w:eastAsia="ＭＳ 明朝" w:hAnsi="ＭＳ 明朝" w:hint="eastAsia"/>
          <w:sz w:val="21"/>
          <w:szCs w:val="21"/>
        </w:rPr>
        <w:t>が</w:t>
      </w:r>
      <w:r w:rsidRPr="00EF5F03">
        <w:rPr>
          <w:rFonts w:ascii="ＭＳ 明朝" w:eastAsia="ＭＳ 明朝" w:hAnsi="ＭＳ 明朝"/>
          <w:sz w:val="21"/>
          <w:szCs w:val="21"/>
        </w:rPr>
        <w:t>、条</w:t>
      </w:r>
      <w:r w:rsidR="000410A8">
        <w:rPr>
          <w:rFonts w:ascii="ＭＳ 明朝" w:eastAsia="ＭＳ 明朝" w:hAnsi="ＭＳ 明朝" w:hint="eastAsia"/>
          <w:sz w:val="21"/>
          <w:szCs w:val="21"/>
        </w:rPr>
        <w:t>項</w:t>
      </w:r>
      <w:r w:rsidRPr="00EF5F03">
        <w:rPr>
          <w:rFonts w:ascii="ＭＳ 明朝" w:eastAsia="ＭＳ 明朝" w:hAnsi="ＭＳ 明朝"/>
          <w:sz w:val="21"/>
          <w:szCs w:val="21"/>
        </w:rPr>
        <w:t>ごとの交渉に移行する前に、まず条約の概念的枠組み、原則、および適用範囲を固めることから始めるよう強く推奨</w:t>
      </w:r>
      <w:r w:rsidR="000410A8">
        <w:rPr>
          <w:rFonts w:ascii="ＭＳ 明朝" w:eastAsia="ＭＳ 明朝" w:hAnsi="ＭＳ 明朝" w:hint="eastAsia"/>
          <w:sz w:val="21"/>
          <w:szCs w:val="21"/>
        </w:rPr>
        <w:t>します</w:t>
      </w:r>
      <w:r w:rsidRPr="00EF5F03">
        <w:rPr>
          <w:rFonts w:ascii="ＭＳ 明朝" w:eastAsia="ＭＳ 明朝" w:hAnsi="ＭＳ 明朝"/>
          <w:sz w:val="21"/>
          <w:szCs w:val="21"/>
        </w:rPr>
        <w:t>。</w:t>
      </w:r>
    </w:p>
    <w:p w14:paraId="49F97903" w14:textId="6B94B940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この方式は単</w:t>
      </w:r>
      <w:r w:rsidR="000410A8">
        <w:rPr>
          <w:rFonts w:ascii="ＭＳ 明朝" w:eastAsia="ＭＳ 明朝" w:hAnsi="ＭＳ 明朝" w:hint="eastAsia"/>
          <w:sz w:val="21"/>
          <w:szCs w:val="21"/>
        </w:rPr>
        <w:t>に</w:t>
      </w:r>
      <w:r w:rsidRPr="00EF5F03">
        <w:rPr>
          <w:rFonts w:ascii="ＭＳ 明朝" w:eastAsia="ＭＳ 明朝" w:hAnsi="ＭＳ 明朝"/>
          <w:sz w:val="21"/>
          <w:szCs w:val="21"/>
        </w:rPr>
        <w:t>手続き上の</w:t>
      </w:r>
      <w:r w:rsidR="000410A8">
        <w:rPr>
          <w:rFonts w:ascii="ＭＳ 明朝" w:eastAsia="ＭＳ 明朝" w:hAnsi="ＭＳ 明朝" w:hint="eastAsia"/>
          <w:sz w:val="21"/>
          <w:szCs w:val="21"/>
        </w:rPr>
        <w:t>ため</w:t>
      </w:r>
      <w:r w:rsidRPr="00EF5F03">
        <w:rPr>
          <w:rFonts w:ascii="ＭＳ 明朝" w:eastAsia="ＭＳ 明朝" w:hAnsi="ＭＳ 明朝"/>
          <w:sz w:val="21"/>
          <w:szCs w:val="21"/>
        </w:rPr>
        <w:t>では</w:t>
      </w:r>
      <w:r w:rsidR="000410A8">
        <w:rPr>
          <w:rFonts w:ascii="ＭＳ 明朝" w:eastAsia="ＭＳ 明朝" w:hAnsi="ＭＳ 明朝" w:hint="eastAsia"/>
          <w:sz w:val="21"/>
          <w:szCs w:val="21"/>
        </w:rPr>
        <w:t>ありません</w:t>
      </w:r>
      <w:r w:rsidRPr="00EF5F03">
        <w:rPr>
          <w:rFonts w:ascii="ＭＳ 明朝" w:eastAsia="ＭＳ 明朝" w:hAnsi="ＭＳ 明朝"/>
          <w:sz w:val="21"/>
          <w:szCs w:val="21"/>
        </w:rPr>
        <w:t>。これは、世界中の高齢者の生活の実情を真に反映した、強固な条約</w:t>
      </w:r>
      <w:r w:rsidR="009A4F4E">
        <w:rPr>
          <w:rFonts w:ascii="ＭＳ 明朝" w:eastAsia="ＭＳ 明朝" w:hAnsi="ＭＳ 明朝" w:hint="eastAsia"/>
          <w:sz w:val="21"/>
          <w:szCs w:val="21"/>
        </w:rPr>
        <w:t>とするための</w:t>
      </w:r>
      <w:r w:rsidRPr="00EF5F03">
        <w:rPr>
          <w:rFonts w:ascii="ＭＳ 明朝" w:eastAsia="ＭＳ 明朝" w:hAnsi="ＭＳ 明朝"/>
          <w:sz w:val="21"/>
          <w:szCs w:val="21"/>
        </w:rPr>
        <w:t>基盤</w:t>
      </w:r>
      <w:r w:rsidR="009A4F4E">
        <w:rPr>
          <w:rFonts w:ascii="ＭＳ 明朝" w:eastAsia="ＭＳ 明朝" w:hAnsi="ＭＳ 明朝" w:hint="eastAsia"/>
          <w:sz w:val="21"/>
          <w:szCs w:val="21"/>
        </w:rPr>
        <w:t>です。</w:t>
      </w:r>
    </w:p>
    <w:p w14:paraId="02A44B13" w14:textId="77777777" w:rsidR="00EF5F03" w:rsidRPr="00EF5F03" w:rsidRDefault="00EF5F03" w:rsidP="00EF5F03">
      <w:pPr>
        <w:pStyle w:val="Web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F5F03">
        <w:rPr>
          <w:rFonts w:ascii="ＭＳ 明朝" w:eastAsia="ＭＳ 明朝" w:hAnsi="ＭＳ 明朝"/>
          <w:sz w:val="21"/>
          <w:szCs w:val="21"/>
        </w:rPr>
        <w:t>ありがとうございました。</w:t>
      </w:r>
    </w:p>
    <w:p w14:paraId="1A84F4C0" w14:textId="77777777" w:rsidR="00B47107" w:rsidRDefault="00B47107" w:rsidP="00B47107">
      <w:pPr>
        <w:pStyle w:val="Web"/>
        <w:jc w:val="right"/>
        <w:rPr>
          <w:rFonts w:ascii="ＭＳ 明朝" w:eastAsia="ＭＳ 明朝" w:hAnsi="ＭＳ 明朝"/>
        </w:rPr>
      </w:pPr>
      <w:r w:rsidRPr="001C6C39">
        <w:rPr>
          <w:rFonts w:ascii="ＭＳ 明朝" w:eastAsia="ＭＳ 明朝" w:hAnsi="ＭＳ 明朝" w:hint="eastAsia"/>
        </w:rPr>
        <w:t>（翻訳：佐藤久夫、　　　　）</w:t>
      </w:r>
    </w:p>
    <w:p w14:paraId="73E0C95A" w14:textId="77777777" w:rsidR="00EF5F03" w:rsidRDefault="00EF5F03" w:rsidP="00EF5F03">
      <w:pPr>
        <w:pStyle w:val="Web"/>
      </w:pPr>
    </w:p>
    <w:p w14:paraId="0CEDD251" w14:textId="77777777" w:rsidR="00EF5F03" w:rsidRPr="00B43CAD" w:rsidRDefault="00EF5F03" w:rsidP="00EF5F03">
      <w:pPr>
        <w:rPr>
          <w:rFonts w:ascii="Verdana" w:hAnsi="Verdana"/>
          <w:b/>
          <w:bCs/>
        </w:rPr>
      </w:pPr>
      <w:r w:rsidRPr="00B43CAD">
        <w:rPr>
          <w:rFonts w:ascii="Verdana" w:hAnsi="Verdana"/>
          <w:b/>
          <w:bCs/>
        </w:rPr>
        <w:t xml:space="preserve">Oral statement by HelpAge International to the </w:t>
      </w:r>
      <w:r>
        <w:rPr>
          <w:rFonts w:ascii="Verdana" w:hAnsi="Verdana"/>
          <w:b/>
          <w:bCs/>
        </w:rPr>
        <w:t>1</w:t>
      </w:r>
      <w:r w:rsidRPr="004075DA">
        <w:rPr>
          <w:rFonts w:ascii="Verdana" w:hAnsi="Verdana"/>
          <w:b/>
          <w:bCs/>
          <w:vertAlign w:val="superscript"/>
        </w:rPr>
        <w:t>st</w:t>
      </w:r>
      <w:r>
        <w:rPr>
          <w:rFonts w:ascii="Verdana" w:hAnsi="Verdana"/>
          <w:b/>
          <w:bCs/>
        </w:rPr>
        <w:t xml:space="preserve"> session of the Intergovernmental Working Group</w:t>
      </w:r>
    </w:p>
    <w:p w14:paraId="1AAA1A4F" w14:textId="77777777" w:rsidR="00EF5F03" w:rsidRPr="00B43CAD" w:rsidRDefault="00EF5F03" w:rsidP="00EF5F03">
      <w:pPr>
        <w:rPr>
          <w:rFonts w:ascii="Verdana" w:hAnsi="Verdana"/>
        </w:rPr>
      </w:pPr>
    </w:p>
    <w:p w14:paraId="0AC01AF9" w14:textId="77777777" w:rsidR="00EF5F03" w:rsidRPr="00792295" w:rsidRDefault="00EF5F03" w:rsidP="00EF5F03">
      <w:pPr>
        <w:rPr>
          <w:rFonts w:ascii="Verdana" w:hAnsi="Verdana"/>
          <w:b/>
          <w:bCs/>
          <w:sz w:val="20"/>
          <w:szCs w:val="20"/>
        </w:rPr>
      </w:pPr>
    </w:p>
    <w:p w14:paraId="06D786DF" w14:textId="77777777" w:rsidR="00EF5F03" w:rsidRPr="00422ED6" w:rsidRDefault="00EF5F03" w:rsidP="00EF5F03">
      <w:pPr>
        <w:rPr>
          <w:rFonts w:ascii="Verdana" w:hAnsi="Verdana"/>
          <w:sz w:val="20"/>
          <w:szCs w:val="20"/>
        </w:rPr>
      </w:pPr>
      <w:r w:rsidRPr="00422ED6">
        <w:rPr>
          <w:rFonts w:ascii="Verdana" w:hAnsi="Verdana"/>
          <w:sz w:val="20"/>
          <w:szCs w:val="20"/>
        </w:rPr>
        <w:lastRenderedPageBreak/>
        <w:t>Thank you, Chair.</w:t>
      </w:r>
    </w:p>
    <w:p w14:paraId="155DC645" w14:textId="77777777" w:rsidR="00EF5F03" w:rsidRPr="00422ED6" w:rsidRDefault="00EF5F03" w:rsidP="00EF5F03">
      <w:pPr>
        <w:rPr>
          <w:rFonts w:ascii="Verdana" w:hAnsi="Verdana"/>
          <w:sz w:val="20"/>
          <w:szCs w:val="20"/>
        </w:rPr>
      </w:pPr>
    </w:p>
    <w:p w14:paraId="498C13D1" w14:textId="77777777" w:rsidR="00EF5F03" w:rsidRPr="00422ED6" w:rsidRDefault="00EF5F03" w:rsidP="00EF5F03">
      <w:pPr>
        <w:rPr>
          <w:rFonts w:ascii="Verdana" w:hAnsi="Verdana"/>
          <w:sz w:val="20"/>
          <w:szCs w:val="20"/>
        </w:rPr>
      </w:pPr>
      <w:r w:rsidRPr="00422ED6">
        <w:rPr>
          <w:rFonts w:ascii="Verdana" w:hAnsi="Verdana"/>
          <w:sz w:val="20"/>
          <w:szCs w:val="20"/>
        </w:rPr>
        <w:t>As a member of the Global Alliance for the Rights of Older People we align ourselves to the statement presented on its behalf.</w:t>
      </w:r>
    </w:p>
    <w:p w14:paraId="1DE10F19" w14:textId="77777777" w:rsidR="00EF5F03" w:rsidRPr="00422ED6" w:rsidRDefault="00EF5F03" w:rsidP="00EF5F03">
      <w:pPr>
        <w:rPr>
          <w:rFonts w:ascii="Verdana" w:hAnsi="Verdana"/>
          <w:sz w:val="20"/>
          <w:szCs w:val="20"/>
        </w:rPr>
      </w:pPr>
    </w:p>
    <w:p w14:paraId="5E0CE136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  <w:r w:rsidRPr="00422ED6">
        <w:rPr>
          <w:rFonts w:ascii="Verdana" w:hAnsi="Verdana"/>
          <w:sz w:val="20"/>
          <w:szCs w:val="20"/>
          <w:lang w:val="en-US"/>
        </w:rPr>
        <w:t xml:space="preserve">In April last year, we marked a </w:t>
      </w:r>
      <w:r>
        <w:rPr>
          <w:rFonts w:ascii="Verdana" w:hAnsi="Verdana"/>
          <w:sz w:val="20"/>
          <w:szCs w:val="20"/>
          <w:lang w:val="en-US"/>
        </w:rPr>
        <w:t>watershed</w:t>
      </w:r>
      <w:r w:rsidRPr="00422ED6">
        <w:rPr>
          <w:rFonts w:ascii="Verdana" w:hAnsi="Verdana"/>
          <w:sz w:val="20"/>
          <w:szCs w:val="20"/>
          <w:lang w:val="en-US"/>
        </w:rPr>
        <w:t xml:space="preserve"> moment </w:t>
      </w:r>
      <w:r>
        <w:rPr>
          <w:rFonts w:ascii="Verdana" w:hAnsi="Verdana"/>
          <w:sz w:val="20"/>
          <w:szCs w:val="20"/>
          <w:lang w:val="en-US"/>
        </w:rPr>
        <w:t>whith the decision to establish</w:t>
      </w:r>
      <w:r w:rsidRPr="00422ED6">
        <w:rPr>
          <w:rFonts w:ascii="Verdana" w:hAnsi="Verdana"/>
          <w:sz w:val="20"/>
          <w:szCs w:val="20"/>
          <w:lang w:val="en-US"/>
        </w:rPr>
        <w:t xml:space="preserve"> this Working Group</w:t>
      </w:r>
      <w:r>
        <w:rPr>
          <w:rFonts w:ascii="Verdana" w:hAnsi="Verdana"/>
          <w:sz w:val="20"/>
          <w:szCs w:val="20"/>
          <w:lang w:val="en-US"/>
        </w:rPr>
        <w:t xml:space="preserve"> to elaborate a new convention on the rights of older persons</w:t>
      </w:r>
      <w:r w:rsidRPr="00422ED6">
        <w:rPr>
          <w:rFonts w:ascii="Verdana" w:hAnsi="Verdana"/>
          <w:sz w:val="20"/>
          <w:szCs w:val="20"/>
          <w:lang w:val="en-US"/>
        </w:rPr>
        <w:t xml:space="preserve">. </w:t>
      </w:r>
    </w:p>
    <w:p w14:paraId="2F28B820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</w:p>
    <w:p w14:paraId="482C5F7E" w14:textId="77777777" w:rsidR="00EF5F03" w:rsidRDefault="00EF5F03" w:rsidP="00EF5F03">
      <w:pPr>
        <w:rPr>
          <w:rFonts w:ascii="Verdana" w:hAnsi="Verdana"/>
          <w:sz w:val="20"/>
          <w:szCs w:val="20"/>
        </w:rPr>
      </w:pPr>
      <w:r w:rsidRPr="00CB098C">
        <w:rPr>
          <w:rFonts w:ascii="Verdana" w:hAnsi="Verdana"/>
          <w:sz w:val="20"/>
          <w:szCs w:val="20"/>
        </w:rPr>
        <w:t xml:space="preserve">How this Group is </w:t>
      </w:r>
      <w:r w:rsidRPr="004F68D3">
        <w:rPr>
          <w:rFonts w:ascii="Verdana" w:hAnsi="Verdana"/>
          <w:sz w:val="20"/>
          <w:szCs w:val="20"/>
        </w:rPr>
        <w:t>structured</w:t>
      </w:r>
      <w:r w:rsidRPr="00CB098C">
        <w:rPr>
          <w:rFonts w:ascii="Verdana" w:hAnsi="Verdana"/>
          <w:sz w:val="20"/>
          <w:szCs w:val="20"/>
        </w:rPr>
        <w:t xml:space="preserve"> and functions will determine whether the future convention is credible, inclusive, and effective</w:t>
      </w:r>
      <w:r>
        <w:rPr>
          <w:rFonts w:ascii="Verdana" w:hAnsi="Verdana"/>
          <w:sz w:val="20"/>
          <w:szCs w:val="20"/>
        </w:rPr>
        <w:t xml:space="preserve">. </w:t>
      </w:r>
    </w:p>
    <w:p w14:paraId="695843A1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</w:p>
    <w:p w14:paraId="7A27760A" w14:textId="77777777" w:rsidR="00EF5F03" w:rsidRDefault="00EF5F03" w:rsidP="00EF5F0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First, its modalities of work should ensure that c</w:t>
      </w:r>
      <w:r w:rsidRPr="00422ED6">
        <w:rPr>
          <w:rFonts w:ascii="Verdana" w:hAnsi="Verdana"/>
          <w:sz w:val="20"/>
          <w:szCs w:val="20"/>
          <w:lang w:val="en-US"/>
        </w:rPr>
        <w:t xml:space="preserve">ivil society, especially older persons and their representative organisations, </w:t>
      </w:r>
      <w:r>
        <w:rPr>
          <w:rFonts w:ascii="Verdana" w:hAnsi="Verdana"/>
          <w:sz w:val="20"/>
          <w:szCs w:val="20"/>
          <w:lang w:val="en-US"/>
        </w:rPr>
        <w:t>are</w:t>
      </w:r>
      <w:r w:rsidRPr="00422ED6">
        <w:rPr>
          <w:rFonts w:ascii="Verdana" w:hAnsi="Verdana"/>
          <w:sz w:val="20"/>
          <w:szCs w:val="20"/>
          <w:lang w:val="en-US"/>
        </w:rPr>
        <w:t xml:space="preserve"> able to participate directly and meaningfully in all sessions, panels and sub groups with guaranteed speaking slots and hybrid modalities of work. </w:t>
      </w:r>
    </w:p>
    <w:p w14:paraId="56E855D1" w14:textId="77777777" w:rsidR="00EF5F03" w:rsidRDefault="00EF5F03" w:rsidP="00EF5F03">
      <w:pPr>
        <w:rPr>
          <w:rFonts w:ascii="Verdana" w:hAnsi="Verdana"/>
          <w:sz w:val="20"/>
          <w:szCs w:val="20"/>
          <w:lang w:val="en-US"/>
        </w:rPr>
      </w:pPr>
    </w:p>
    <w:p w14:paraId="2A311A41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We recognize the efforts made in this regard so far, particularly the accreditation of non-ECOSOC organisations for this session.</w:t>
      </w:r>
    </w:p>
    <w:p w14:paraId="38C8F599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</w:p>
    <w:p w14:paraId="1082BB16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Second, c</w:t>
      </w:r>
      <w:r w:rsidRPr="00422ED6">
        <w:rPr>
          <w:rFonts w:ascii="Verdana" w:hAnsi="Verdana"/>
          <w:sz w:val="20"/>
          <w:szCs w:val="20"/>
          <w:lang w:val="en-US"/>
        </w:rPr>
        <w:t xml:space="preserve">ivil society must </w:t>
      </w:r>
      <w:r>
        <w:rPr>
          <w:rFonts w:ascii="Verdana" w:hAnsi="Verdana"/>
          <w:sz w:val="20"/>
          <w:szCs w:val="20"/>
          <w:lang w:val="en-US"/>
        </w:rPr>
        <w:t xml:space="preserve">also </w:t>
      </w:r>
      <w:r w:rsidRPr="00422ED6">
        <w:rPr>
          <w:rFonts w:ascii="Verdana" w:hAnsi="Verdana"/>
          <w:sz w:val="20"/>
          <w:szCs w:val="20"/>
          <w:lang w:val="en-US"/>
        </w:rPr>
        <w:t>be able to self-organise in a transparent and inclusive way, ensuring geographic balance and diversity, while prioritising the voices of older persons themselves.</w:t>
      </w:r>
    </w:p>
    <w:p w14:paraId="024FFFEE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</w:p>
    <w:p w14:paraId="521A0522" w14:textId="77777777" w:rsidR="00EF5F03" w:rsidRPr="00422ED6" w:rsidRDefault="00EF5F03" w:rsidP="00EF5F0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Finally, to</w:t>
      </w:r>
      <w:r w:rsidRPr="00422ED6">
        <w:rPr>
          <w:rFonts w:ascii="Verdana" w:hAnsi="Verdana"/>
          <w:sz w:val="20"/>
          <w:szCs w:val="20"/>
        </w:rPr>
        <w:t xml:space="preserve"> ensure a comprehensive and transformative treaty that reaffirms existing human rights while addressing the specific and intersecting forms of discrimination faced by older persons</w:t>
      </w:r>
      <w:r>
        <w:rPr>
          <w:rFonts w:ascii="Verdana" w:hAnsi="Verdana"/>
          <w:sz w:val="20"/>
          <w:szCs w:val="20"/>
        </w:rPr>
        <w:t xml:space="preserve"> we strongly </w:t>
      </w:r>
      <w:r w:rsidRPr="00422ED6">
        <w:rPr>
          <w:rFonts w:ascii="Verdana" w:hAnsi="Verdana"/>
          <w:sz w:val="20"/>
          <w:szCs w:val="20"/>
          <w:lang w:val="en-US"/>
        </w:rPr>
        <w:t>encourage the working group to begin by consolidating the conceptual framework, principles and scope of the convention, before moving to article-by-article negotiations</w:t>
      </w:r>
      <w:r>
        <w:rPr>
          <w:rFonts w:ascii="Verdana" w:hAnsi="Verdana"/>
          <w:sz w:val="20"/>
          <w:szCs w:val="20"/>
          <w:lang w:val="en-US"/>
        </w:rPr>
        <w:t xml:space="preserve">. </w:t>
      </w:r>
    </w:p>
    <w:p w14:paraId="4B43C19E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</w:p>
    <w:p w14:paraId="0167BA32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</w:t>
      </w:r>
      <w:r w:rsidRPr="00422ED6">
        <w:rPr>
          <w:rFonts w:ascii="Verdana" w:hAnsi="Verdana"/>
          <w:sz w:val="20"/>
          <w:szCs w:val="20"/>
          <w:lang w:val="en-US"/>
        </w:rPr>
        <w:t>hese modalities are not just procedural details. They are the foundation</w:t>
      </w:r>
      <w:r>
        <w:rPr>
          <w:rFonts w:ascii="Verdana" w:hAnsi="Verdana"/>
          <w:sz w:val="20"/>
          <w:szCs w:val="20"/>
          <w:lang w:val="en-US"/>
        </w:rPr>
        <w:t>s</w:t>
      </w:r>
      <w:r w:rsidRPr="00422ED6">
        <w:rPr>
          <w:rFonts w:ascii="Verdana" w:hAnsi="Verdana"/>
          <w:sz w:val="20"/>
          <w:szCs w:val="20"/>
          <w:lang w:val="en-US"/>
        </w:rPr>
        <w:t xml:space="preserve"> for a strong convention that truly reflects the lived realities of older persons worldwide. </w:t>
      </w:r>
    </w:p>
    <w:p w14:paraId="035EC3F2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</w:p>
    <w:p w14:paraId="658FBBBB" w14:textId="77777777" w:rsidR="00EF5F03" w:rsidRPr="00422ED6" w:rsidRDefault="00EF5F03" w:rsidP="00EF5F03">
      <w:pPr>
        <w:rPr>
          <w:rFonts w:ascii="Verdana" w:hAnsi="Verdana"/>
          <w:sz w:val="20"/>
          <w:szCs w:val="20"/>
          <w:lang w:val="en-US"/>
        </w:rPr>
      </w:pPr>
      <w:r w:rsidRPr="00422ED6">
        <w:rPr>
          <w:rFonts w:ascii="Verdana" w:hAnsi="Verdana"/>
          <w:sz w:val="20"/>
          <w:szCs w:val="20"/>
          <w:lang w:val="en-US"/>
        </w:rPr>
        <w:t>Thank you.</w:t>
      </w:r>
    </w:p>
    <w:p w14:paraId="7C27DE7B" w14:textId="77777777" w:rsidR="00EF5F03" w:rsidRDefault="00EF5F03">
      <w:pPr>
        <w:rPr>
          <w:lang w:eastAsia="ja-JP"/>
        </w:rPr>
      </w:pPr>
    </w:p>
    <w:sectPr w:rsidR="00EF5F03" w:rsidSect="006A05DC">
      <w:pgSz w:w="11907" w:h="16840" w:code="9"/>
      <w:pgMar w:top="1985" w:right="1701" w:bottom="1701" w:left="1701" w:header="851" w:footer="567" w:gutter="0"/>
      <w:cols w:space="42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63FA" w14:textId="77777777" w:rsidR="00AE5A2E" w:rsidRDefault="00AE5A2E" w:rsidP="00AE5A2E">
      <w:r>
        <w:separator/>
      </w:r>
    </w:p>
  </w:endnote>
  <w:endnote w:type="continuationSeparator" w:id="0">
    <w:p w14:paraId="7EA9C319" w14:textId="77777777" w:rsidR="00AE5A2E" w:rsidRDefault="00AE5A2E" w:rsidP="00AE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39D4" w14:textId="77777777" w:rsidR="00AE5A2E" w:rsidRDefault="00AE5A2E" w:rsidP="00AE5A2E">
      <w:r>
        <w:separator/>
      </w:r>
    </w:p>
  </w:footnote>
  <w:footnote w:type="continuationSeparator" w:id="0">
    <w:p w14:paraId="7DA4132B" w14:textId="77777777" w:rsidR="00AE5A2E" w:rsidRDefault="00AE5A2E" w:rsidP="00AE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03"/>
    <w:rsid w:val="000410A8"/>
    <w:rsid w:val="000B2AFD"/>
    <w:rsid w:val="00152B39"/>
    <w:rsid w:val="003126F0"/>
    <w:rsid w:val="003A6E34"/>
    <w:rsid w:val="00692D7C"/>
    <w:rsid w:val="006A05DC"/>
    <w:rsid w:val="0070471F"/>
    <w:rsid w:val="0084189D"/>
    <w:rsid w:val="009A4F4E"/>
    <w:rsid w:val="00AE5A2E"/>
    <w:rsid w:val="00AF582A"/>
    <w:rsid w:val="00B37471"/>
    <w:rsid w:val="00B47107"/>
    <w:rsid w:val="00D61491"/>
    <w:rsid w:val="00E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53039A"/>
  <w15:chartTrackingRefBased/>
  <w15:docId w15:val="{96FF2DF7-3903-40F8-AD78-0B0F97D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F03"/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5F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F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F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F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F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F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F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F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F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F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5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F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F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F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F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F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F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F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F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F5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F5F0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久夫 佐藤</dc:creator>
  <cp:keywords/>
  <dc:description/>
  <cp:lastModifiedBy>久夫 佐藤</cp:lastModifiedBy>
  <cp:revision>2</cp:revision>
  <dcterms:created xsi:type="dcterms:W3CDTF">2026-05-10T03:44:00Z</dcterms:created>
  <dcterms:modified xsi:type="dcterms:W3CDTF">2026-05-10T03:44:00Z</dcterms:modified>
</cp:coreProperties>
</file>