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5FB4" w14:textId="5635A268" w:rsidR="00160F80" w:rsidRPr="00A43E28" w:rsidRDefault="00160F80" w:rsidP="00160F80">
      <w:pPr>
        <w:pStyle w:val="Web"/>
        <w:rPr>
          <w:rFonts w:ascii="BIZ UDPゴシック" w:eastAsia="BIZ UDPゴシック" w:hAnsi="BIZ UDPゴシック"/>
        </w:rPr>
      </w:pPr>
      <w:bookmarkStart w:id="0" w:name="_Hlk228215007"/>
      <w:r w:rsidRPr="00A43E28">
        <w:rPr>
          <w:rFonts w:ascii="BIZ UDPゴシック" w:eastAsia="BIZ UDPゴシック" w:hAnsi="BIZ UDPゴシック" w:hint="eastAsia"/>
        </w:rPr>
        <w:t>議題5　一般的意見</w:t>
      </w:r>
    </w:p>
    <w:p w14:paraId="6F1D9542" w14:textId="74D49975" w:rsidR="000B2AFD" w:rsidRPr="00160F80" w:rsidRDefault="00160F80">
      <w:pPr>
        <w:rPr>
          <w:rFonts w:ascii="BIZ UDPゴシック" w:eastAsia="BIZ UDPゴシック" w:hAnsi="BIZ UDPゴシック"/>
          <w:sz w:val="24"/>
          <w:szCs w:val="24"/>
          <w:lang w:eastAsia="ja-JP"/>
        </w:rPr>
      </w:pPr>
      <w:r w:rsidRPr="00160F80">
        <w:rPr>
          <w:rFonts w:ascii="BIZ UDPゴシック" w:eastAsia="BIZ UDPゴシック" w:hAnsi="BIZ UDPゴシック" w:hint="eastAsia"/>
          <w:sz w:val="24"/>
          <w:szCs w:val="24"/>
          <w:lang w:eastAsia="ja-JP"/>
        </w:rPr>
        <w:t>ドイツ</w:t>
      </w:r>
    </w:p>
    <w:bookmarkEnd w:id="0"/>
    <w:p w14:paraId="72EDAEC9" w14:textId="77777777" w:rsidR="00160F80" w:rsidRPr="00160F80" w:rsidRDefault="00160F80" w:rsidP="00B638C3">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160F80">
        <w:rPr>
          <w:rFonts w:ascii="ＭＳ 明朝" w:eastAsia="ＭＳ 明朝" w:hAnsi="ＭＳ 明朝" w:cs="ＭＳ Ｐゴシック"/>
          <w:kern w:val="0"/>
          <w:szCs w:val="21"/>
          <w:lang w:val="en-US" w:eastAsia="ja-JP"/>
          <w14:ligatures w14:val="none"/>
        </w:rPr>
        <w:t>議長、ありがとうございます。</w:t>
      </w:r>
    </w:p>
    <w:p w14:paraId="23575766" w14:textId="18D838CF" w:rsidR="00160F80" w:rsidRPr="00160F80" w:rsidRDefault="00160F80" w:rsidP="00B638C3">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160F80">
        <w:rPr>
          <w:rFonts w:ascii="ＭＳ 明朝" w:eastAsia="ＭＳ 明朝" w:hAnsi="ＭＳ 明朝" w:cs="ＭＳ Ｐゴシック"/>
          <w:kern w:val="0"/>
          <w:szCs w:val="21"/>
          <w:lang w:val="en-US" w:eastAsia="ja-JP"/>
          <w14:ligatures w14:val="none"/>
        </w:rPr>
        <w:t>ドイツを代表して、高齢者の人権の促進と保護に関する法的拘束力のある文書の起草作業を開始するため、本会合を招集してくださった主催者に感謝</w:t>
      </w:r>
      <w:r w:rsidR="00C22382">
        <w:rPr>
          <w:rFonts w:ascii="ＭＳ 明朝" w:eastAsia="ＭＳ 明朝" w:hAnsi="ＭＳ 明朝" w:cs="ＭＳ Ｐゴシック" w:hint="eastAsia"/>
          <w:kern w:val="0"/>
          <w:szCs w:val="21"/>
          <w:lang w:val="en-US" w:eastAsia="ja-JP"/>
          <w14:ligatures w14:val="none"/>
        </w:rPr>
        <w:t>いたし</w:t>
      </w:r>
      <w:r w:rsidRPr="00160F80">
        <w:rPr>
          <w:rFonts w:ascii="ＭＳ 明朝" w:eastAsia="ＭＳ 明朝" w:hAnsi="ＭＳ 明朝" w:cs="ＭＳ Ｐゴシック"/>
          <w:kern w:val="0"/>
          <w:szCs w:val="21"/>
          <w:lang w:val="en-US" w:eastAsia="ja-JP"/>
          <w14:ligatures w14:val="none"/>
        </w:rPr>
        <w:t>ます。</w:t>
      </w:r>
    </w:p>
    <w:p w14:paraId="68C099A0" w14:textId="226B426E" w:rsidR="00160F80" w:rsidRPr="00160F80" w:rsidRDefault="00160F80" w:rsidP="00160F80">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160F80">
        <w:rPr>
          <w:rFonts w:ascii="ＭＳ 明朝" w:eastAsia="ＭＳ 明朝" w:hAnsi="ＭＳ 明朝" w:cs="ＭＳ Ｐゴシック"/>
          <w:kern w:val="0"/>
          <w:szCs w:val="21"/>
          <w:lang w:val="en-US" w:eastAsia="ja-JP"/>
          <w14:ligatures w14:val="none"/>
        </w:rPr>
        <w:t>ドイツは、欧州連合（EU）</w:t>
      </w:r>
      <w:r w:rsidR="00C22382">
        <w:rPr>
          <w:rFonts w:ascii="ＭＳ 明朝" w:eastAsia="ＭＳ 明朝" w:hAnsi="ＭＳ 明朝" w:cs="ＭＳ Ｐゴシック" w:hint="eastAsia"/>
          <w:kern w:val="0"/>
          <w:szCs w:val="21"/>
          <w:lang w:val="en-US" w:eastAsia="ja-JP"/>
          <w14:ligatures w14:val="none"/>
        </w:rPr>
        <w:t>の</w:t>
      </w:r>
      <w:r w:rsidRPr="00160F80">
        <w:rPr>
          <w:rFonts w:ascii="ＭＳ 明朝" w:eastAsia="ＭＳ 明朝" w:hAnsi="ＭＳ 明朝" w:cs="ＭＳ Ｐゴシック"/>
          <w:kern w:val="0"/>
          <w:szCs w:val="21"/>
          <w:lang w:val="en-US" w:eastAsia="ja-JP"/>
          <w14:ligatures w14:val="none"/>
        </w:rPr>
        <w:t>声明に賛同します。</w:t>
      </w:r>
    </w:p>
    <w:p w14:paraId="3FD28A75" w14:textId="73F8B4A4" w:rsidR="00160F80" w:rsidRPr="00160F80" w:rsidRDefault="00160F80" w:rsidP="00B638C3">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160F80">
        <w:rPr>
          <w:rFonts w:ascii="ＭＳ 明朝" w:eastAsia="ＭＳ 明朝" w:hAnsi="ＭＳ 明朝" w:cs="ＭＳ Ｐゴシック"/>
          <w:kern w:val="0"/>
          <w:szCs w:val="21"/>
          <w:lang w:val="en-US" w:eastAsia="ja-JP"/>
          <w14:ligatures w14:val="none"/>
        </w:rPr>
        <w:t>人口の高齢化は、21世紀における大きな</w:t>
      </w:r>
      <w:r w:rsidR="00C22382">
        <w:rPr>
          <w:rFonts w:ascii="ＭＳ 明朝" w:eastAsia="ＭＳ 明朝" w:hAnsi="ＭＳ 明朝" w:cs="ＭＳ Ｐゴシック" w:hint="eastAsia"/>
          <w:kern w:val="0"/>
          <w:szCs w:val="21"/>
          <w:lang w:val="en-US" w:eastAsia="ja-JP"/>
          <w14:ligatures w14:val="none"/>
        </w:rPr>
        <w:t>変化</w:t>
      </w:r>
      <w:r w:rsidRPr="00160F80">
        <w:rPr>
          <w:rFonts w:ascii="ＭＳ 明朝" w:eastAsia="ＭＳ 明朝" w:hAnsi="ＭＳ 明朝" w:cs="ＭＳ Ｐゴシック"/>
          <w:kern w:val="0"/>
          <w:szCs w:val="21"/>
          <w:lang w:val="en-US" w:eastAsia="ja-JP"/>
          <w14:ligatures w14:val="none"/>
        </w:rPr>
        <w:t>の一つです。2020年、史上初めて60歳以上の人口が5歳未満の児童</w:t>
      </w:r>
      <w:r w:rsidR="00C22382">
        <w:rPr>
          <w:rFonts w:ascii="ＭＳ 明朝" w:eastAsia="ＭＳ 明朝" w:hAnsi="ＭＳ 明朝" w:cs="ＭＳ Ｐゴシック" w:hint="eastAsia"/>
          <w:kern w:val="0"/>
          <w:szCs w:val="21"/>
          <w:lang w:val="en-US" w:eastAsia="ja-JP"/>
          <w14:ligatures w14:val="none"/>
        </w:rPr>
        <w:t>数</w:t>
      </w:r>
      <w:r w:rsidRPr="00160F80">
        <w:rPr>
          <w:rFonts w:ascii="ＭＳ 明朝" w:eastAsia="ＭＳ 明朝" w:hAnsi="ＭＳ 明朝" w:cs="ＭＳ Ｐゴシック"/>
          <w:kern w:val="0"/>
          <w:szCs w:val="21"/>
          <w:lang w:val="en-US" w:eastAsia="ja-JP"/>
          <w14:ligatures w14:val="none"/>
        </w:rPr>
        <w:t>を上回りました。2050年までに、60歳以上の人口は5歳未満の児童の2倍以上になる見込みです。また、2050年までに、60歳以上の人口は15歳から24歳の青少年・若年層を上回ります。</w:t>
      </w:r>
    </w:p>
    <w:p w14:paraId="0B168399" w14:textId="7DE917EF" w:rsidR="00160F80" w:rsidRPr="00160F80" w:rsidRDefault="00160F80" w:rsidP="00160F80">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160F80">
        <w:rPr>
          <w:rFonts w:ascii="ＭＳ 明朝" w:eastAsia="ＭＳ 明朝" w:hAnsi="ＭＳ 明朝" w:cs="ＭＳ Ｐゴシック"/>
          <w:kern w:val="0"/>
          <w:szCs w:val="21"/>
          <w:lang w:val="en-US" w:eastAsia="ja-JP"/>
          <w14:ligatures w14:val="none"/>
        </w:rPr>
        <w:t>ドイツは、平均寿命の延伸という事実がより一層注目されるべきであると確信し、国連高齢化に関する</w:t>
      </w:r>
      <w:r w:rsidR="00C22382">
        <w:rPr>
          <w:rFonts w:ascii="ＭＳ 明朝" w:eastAsia="ＭＳ 明朝" w:hAnsi="ＭＳ 明朝" w:cs="ＭＳ Ｐゴシック" w:hint="eastAsia"/>
          <w:kern w:val="0"/>
          <w:szCs w:val="21"/>
          <w:lang w:val="en-US" w:eastAsia="ja-JP"/>
          <w14:ligatures w14:val="none"/>
        </w:rPr>
        <w:t>オープンエンド</w:t>
      </w:r>
      <w:r w:rsidRPr="00160F80">
        <w:rPr>
          <w:rFonts w:ascii="ＭＳ 明朝" w:eastAsia="ＭＳ 明朝" w:hAnsi="ＭＳ 明朝" w:cs="ＭＳ Ｐゴシック"/>
          <w:kern w:val="0"/>
          <w:szCs w:val="21"/>
          <w:lang w:val="en-US" w:eastAsia="ja-JP"/>
          <w14:ligatures w14:val="none"/>
        </w:rPr>
        <w:t>作業部会の審議に積極的に関与してき</w:t>
      </w:r>
      <w:r w:rsidR="00C22382">
        <w:rPr>
          <w:rFonts w:ascii="ＭＳ 明朝" w:eastAsia="ＭＳ 明朝" w:hAnsi="ＭＳ 明朝" w:cs="ＭＳ Ｐゴシック" w:hint="eastAsia"/>
          <w:kern w:val="0"/>
          <w:szCs w:val="21"/>
          <w:lang w:val="en-US" w:eastAsia="ja-JP"/>
          <w14:ligatures w14:val="none"/>
        </w:rPr>
        <w:t>まし</w:t>
      </w:r>
      <w:r w:rsidRPr="00160F80">
        <w:rPr>
          <w:rFonts w:ascii="ＭＳ 明朝" w:eastAsia="ＭＳ 明朝" w:hAnsi="ＭＳ 明朝" w:cs="ＭＳ Ｐゴシック"/>
          <w:kern w:val="0"/>
          <w:szCs w:val="21"/>
          <w:lang w:val="en-US" w:eastAsia="ja-JP"/>
          <w14:ligatures w14:val="none"/>
        </w:rPr>
        <w:t>た。同部会は決定14/1において、高齢者の人権の促進と保護の分野において検討すべき14の懸念</w:t>
      </w:r>
      <w:r w:rsidR="00C22382">
        <w:rPr>
          <w:rFonts w:ascii="ＭＳ 明朝" w:eastAsia="ＭＳ 明朝" w:hAnsi="ＭＳ 明朝" w:cs="ＭＳ Ｐゴシック" w:hint="eastAsia"/>
          <w:kern w:val="0"/>
          <w:szCs w:val="21"/>
          <w:lang w:val="en-US" w:eastAsia="ja-JP"/>
          <w14:ligatures w14:val="none"/>
        </w:rPr>
        <w:t>領域</w:t>
      </w:r>
      <w:r w:rsidRPr="00160F80">
        <w:rPr>
          <w:rFonts w:ascii="ＭＳ 明朝" w:eastAsia="ＭＳ 明朝" w:hAnsi="ＭＳ 明朝" w:cs="ＭＳ Ｐゴシック"/>
          <w:kern w:val="0"/>
          <w:szCs w:val="21"/>
          <w:lang w:val="en-US" w:eastAsia="ja-JP"/>
          <w14:ligatures w14:val="none"/>
        </w:rPr>
        <w:t>を特定しており、法的拘束力のある文書の作成もその一つで</w:t>
      </w:r>
      <w:r w:rsidR="00C22382">
        <w:rPr>
          <w:rFonts w:ascii="ＭＳ 明朝" w:eastAsia="ＭＳ 明朝" w:hAnsi="ＭＳ 明朝" w:cs="ＭＳ Ｐゴシック" w:hint="eastAsia"/>
          <w:kern w:val="0"/>
          <w:szCs w:val="21"/>
          <w:lang w:val="en-US" w:eastAsia="ja-JP"/>
          <w14:ligatures w14:val="none"/>
        </w:rPr>
        <w:t>し</w:t>
      </w:r>
      <w:r w:rsidRPr="00160F80">
        <w:rPr>
          <w:rFonts w:ascii="ＭＳ 明朝" w:eastAsia="ＭＳ 明朝" w:hAnsi="ＭＳ 明朝" w:cs="ＭＳ Ｐゴシック"/>
          <w:kern w:val="0"/>
          <w:szCs w:val="21"/>
          <w:lang w:val="en-US" w:eastAsia="ja-JP"/>
          <w14:ligatures w14:val="none"/>
        </w:rPr>
        <w:t>た。</w:t>
      </w:r>
    </w:p>
    <w:p w14:paraId="79C336EE" w14:textId="2A20E7A0" w:rsidR="00160F80" w:rsidRPr="00160F80" w:rsidRDefault="00160F80" w:rsidP="00160F80">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160F80">
        <w:rPr>
          <w:rFonts w:ascii="ＭＳ 明朝" w:eastAsia="ＭＳ 明朝" w:hAnsi="ＭＳ 明朝" w:cs="ＭＳ Ｐゴシック"/>
          <w:kern w:val="0"/>
          <w:szCs w:val="21"/>
          <w:lang w:val="en-US" w:eastAsia="ja-JP"/>
          <w14:ligatures w14:val="none"/>
        </w:rPr>
        <w:t>高齢化に関する</w:t>
      </w:r>
      <w:r w:rsidR="00C22382">
        <w:rPr>
          <w:rFonts w:ascii="ＭＳ 明朝" w:eastAsia="ＭＳ 明朝" w:hAnsi="ＭＳ 明朝" w:cs="ＭＳ Ｐゴシック" w:hint="eastAsia"/>
          <w:kern w:val="0"/>
          <w:szCs w:val="21"/>
          <w:lang w:val="en-US" w:eastAsia="ja-JP"/>
          <w14:ligatures w14:val="none"/>
        </w:rPr>
        <w:t>オープンエンド</w:t>
      </w:r>
      <w:r w:rsidRPr="00160F80">
        <w:rPr>
          <w:rFonts w:ascii="ＭＳ 明朝" w:eastAsia="ＭＳ 明朝" w:hAnsi="ＭＳ 明朝" w:cs="ＭＳ Ｐゴシック"/>
          <w:kern w:val="0"/>
          <w:szCs w:val="21"/>
          <w:lang w:val="en-US" w:eastAsia="ja-JP"/>
          <w14:ligatures w14:val="none"/>
        </w:rPr>
        <w:t>作業部会は、市民社会、国内人権機関（NHRIs）、および高齢者の代表者からの</w:t>
      </w:r>
      <w:r w:rsidR="005B0775">
        <w:rPr>
          <w:rFonts w:ascii="ＭＳ 明朝" w:eastAsia="ＭＳ 明朝" w:hAnsi="ＭＳ 明朝" w:cs="ＭＳ Ｐゴシック" w:hint="eastAsia"/>
          <w:kern w:val="0"/>
          <w:szCs w:val="21"/>
          <w:lang w:val="en-US" w:eastAsia="ja-JP"/>
          <w14:ligatures w14:val="none"/>
        </w:rPr>
        <w:t>発言に鼓舞されてきました</w:t>
      </w:r>
      <w:r w:rsidRPr="00160F80">
        <w:rPr>
          <w:rFonts w:ascii="ＭＳ 明朝" w:eastAsia="ＭＳ 明朝" w:hAnsi="ＭＳ 明朝" w:cs="ＭＳ Ｐゴシック"/>
          <w:kern w:val="0"/>
          <w:szCs w:val="21"/>
          <w:lang w:val="en-US" w:eastAsia="ja-JP"/>
          <w14:ligatures w14:val="none"/>
        </w:rPr>
        <w:t>。</w:t>
      </w:r>
      <w:r w:rsidR="00C22382">
        <w:rPr>
          <w:rFonts w:ascii="ＭＳ 明朝" w:eastAsia="ＭＳ 明朝" w:hAnsi="ＭＳ 明朝" w:cs="ＭＳ Ｐゴシック"/>
          <w:kern w:val="0"/>
          <w:szCs w:val="21"/>
          <w:lang w:val="en-US" w:eastAsia="ja-JP"/>
          <w14:ligatures w14:val="none"/>
        </w:rPr>
        <w:t>私たち</w:t>
      </w:r>
      <w:r w:rsidRPr="00160F80">
        <w:rPr>
          <w:rFonts w:ascii="ＭＳ 明朝" w:eastAsia="ＭＳ 明朝" w:hAnsi="ＭＳ 明朝" w:cs="ＭＳ Ｐゴシック"/>
          <w:kern w:val="0"/>
          <w:szCs w:val="21"/>
          <w:lang w:val="en-US" w:eastAsia="ja-JP"/>
          <w14:ligatures w14:val="none"/>
        </w:rPr>
        <w:t>は、これらの</w:t>
      </w:r>
      <w:r w:rsidR="005B0775">
        <w:rPr>
          <w:rFonts w:ascii="ＭＳ 明朝" w:eastAsia="ＭＳ 明朝" w:hAnsi="ＭＳ 明朝" w:cs="ＭＳ Ｐゴシック" w:hint="eastAsia"/>
          <w:kern w:val="0"/>
          <w:szCs w:val="21"/>
          <w:lang w:val="en-US" w:eastAsia="ja-JP"/>
          <w14:ligatures w14:val="none"/>
        </w:rPr>
        <w:t>意見</w:t>
      </w:r>
      <w:r w:rsidRPr="00160F80">
        <w:rPr>
          <w:rFonts w:ascii="ＭＳ 明朝" w:eastAsia="ＭＳ 明朝" w:hAnsi="ＭＳ 明朝" w:cs="ＭＳ Ｐゴシック"/>
          <w:kern w:val="0"/>
          <w:szCs w:val="21"/>
          <w:lang w:val="en-US" w:eastAsia="ja-JP"/>
          <w14:ligatures w14:val="none"/>
        </w:rPr>
        <w:t>が尊重されるべきであり、本政府間作業部会の活動にとっても有益であると考えます。</w:t>
      </w:r>
      <w:r w:rsidR="00C22382">
        <w:rPr>
          <w:rFonts w:ascii="ＭＳ 明朝" w:eastAsia="ＭＳ 明朝" w:hAnsi="ＭＳ 明朝" w:cs="ＭＳ Ｐゴシック"/>
          <w:kern w:val="0"/>
          <w:szCs w:val="21"/>
          <w:lang w:val="en-US" w:eastAsia="ja-JP"/>
          <w14:ligatures w14:val="none"/>
        </w:rPr>
        <w:t>私たち</w:t>
      </w:r>
      <w:r w:rsidRPr="00160F80">
        <w:rPr>
          <w:rFonts w:ascii="ＭＳ 明朝" w:eastAsia="ＭＳ 明朝" w:hAnsi="ＭＳ 明朝" w:cs="ＭＳ Ｐゴシック"/>
          <w:kern w:val="0"/>
          <w:szCs w:val="21"/>
          <w:lang w:val="en-US" w:eastAsia="ja-JP"/>
          <w14:ligatures w14:val="none"/>
        </w:rPr>
        <w:t>は、</w:t>
      </w:r>
      <w:r w:rsidR="005B0775">
        <w:rPr>
          <w:rFonts w:ascii="ＭＳ 明朝" w:eastAsia="ＭＳ 明朝" w:hAnsi="ＭＳ 明朝" w:cs="ＭＳ Ｐゴシック" w:hint="eastAsia"/>
          <w:kern w:val="0"/>
          <w:szCs w:val="21"/>
          <w:lang w:val="en-US" w:eastAsia="ja-JP"/>
          <w14:ligatures w14:val="none"/>
        </w:rPr>
        <w:t>この発足のための</w:t>
      </w:r>
      <w:r w:rsidRPr="00160F80">
        <w:rPr>
          <w:rFonts w:ascii="ＭＳ 明朝" w:eastAsia="ＭＳ 明朝" w:hAnsi="ＭＳ 明朝" w:cs="ＭＳ Ｐゴシック"/>
          <w:kern w:val="0"/>
          <w:szCs w:val="21"/>
          <w:lang w:val="en-US" w:eastAsia="ja-JP"/>
          <w14:ligatures w14:val="none"/>
        </w:rPr>
        <w:t>会合への彼らの参加を歓迎し、高齢者の人権を促進するための実りある意見交換が今後も続くことを期待しています。</w:t>
      </w:r>
    </w:p>
    <w:p w14:paraId="511F4B0F" w14:textId="45C0D395" w:rsidR="00160F80" w:rsidRPr="00160F80" w:rsidRDefault="00C22382" w:rsidP="00160F80">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Pr>
          <w:rFonts w:ascii="ＭＳ 明朝" w:eastAsia="ＭＳ 明朝" w:hAnsi="ＭＳ 明朝" w:cs="ＭＳ Ｐゴシック"/>
          <w:kern w:val="0"/>
          <w:szCs w:val="21"/>
          <w:lang w:val="en-US" w:eastAsia="ja-JP"/>
          <w14:ligatures w14:val="none"/>
        </w:rPr>
        <w:t>私たち</w:t>
      </w:r>
      <w:r w:rsidR="00160F80" w:rsidRPr="00160F80">
        <w:rPr>
          <w:rFonts w:ascii="ＭＳ 明朝" w:eastAsia="ＭＳ 明朝" w:hAnsi="ＭＳ 明朝" w:cs="ＭＳ Ｐゴシック"/>
          <w:kern w:val="0"/>
          <w:szCs w:val="21"/>
          <w:lang w:val="en-US" w:eastAsia="ja-JP"/>
          <w14:ligatures w14:val="none"/>
        </w:rPr>
        <w:t>は、高齢化に関する</w:t>
      </w:r>
      <w:r>
        <w:rPr>
          <w:rFonts w:ascii="ＭＳ 明朝" w:eastAsia="ＭＳ 明朝" w:hAnsi="ＭＳ 明朝" w:cs="ＭＳ Ｐゴシック" w:hint="eastAsia"/>
          <w:kern w:val="0"/>
          <w:szCs w:val="21"/>
          <w:lang w:val="en-US" w:eastAsia="ja-JP"/>
          <w14:ligatures w14:val="none"/>
        </w:rPr>
        <w:t>オープンエンド</w:t>
      </w:r>
      <w:r w:rsidR="00160F80" w:rsidRPr="00160F80">
        <w:rPr>
          <w:rFonts w:ascii="ＭＳ 明朝" w:eastAsia="ＭＳ 明朝" w:hAnsi="ＭＳ 明朝" w:cs="ＭＳ Ｐゴシック"/>
          <w:kern w:val="0"/>
          <w:szCs w:val="21"/>
          <w:lang w:val="en-US" w:eastAsia="ja-JP"/>
          <w14:ligatures w14:val="none"/>
        </w:rPr>
        <w:t>作業部会の成果、とりわけ多くの加盟国が意見を提出した会期間のアンケート調査の結果を、今後の作業の基礎とするよう求め</w:t>
      </w:r>
      <w:r>
        <w:rPr>
          <w:rFonts w:ascii="ＭＳ 明朝" w:eastAsia="ＭＳ 明朝" w:hAnsi="ＭＳ 明朝" w:cs="ＭＳ Ｐゴシック" w:hint="eastAsia"/>
          <w:kern w:val="0"/>
          <w:szCs w:val="21"/>
          <w:lang w:val="en-US" w:eastAsia="ja-JP"/>
          <w14:ligatures w14:val="none"/>
        </w:rPr>
        <w:t>ます</w:t>
      </w:r>
      <w:r w:rsidR="00160F80" w:rsidRPr="00160F80">
        <w:rPr>
          <w:rFonts w:ascii="ＭＳ 明朝" w:eastAsia="ＭＳ 明朝" w:hAnsi="ＭＳ 明朝" w:cs="ＭＳ Ｐゴシック"/>
          <w:kern w:val="0"/>
          <w:szCs w:val="21"/>
          <w:lang w:val="en-US" w:eastAsia="ja-JP"/>
          <w14:ligatures w14:val="none"/>
        </w:rPr>
        <w:t>。</w:t>
      </w:r>
    </w:p>
    <w:p w14:paraId="388F6F5E" w14:textId="24B1FB8F" w:rsidR="00160F80" w:rsidRPr="00160F80" w:rsidRDefault="00160F80" w:rsidP="00160F80">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160F80">
        <w:rPr>
          <w:rFonts w:ascii="ＭＳ 明朝" w:eastAsia="ＭＳ 明朝" w:hAnsi="ＭＳ 明朝" w:cs="ＭＳ Ｐゴシック"/>
          <w:kern w:val="0"/>
          <w:szCs w:val="21"/>
          <w:lang w:val="en-US" w:eastAsia="ja-JP"/>
          <w14:ligatures w14:val="none"/>
        </w:rPr>
        <w:t>ドイツは、あらゆる人権が</w:t>
      </w:r>
      <w:r w:rsidR="00C22382">
        <w:rPr>
          <w:rFonts w:ascii="ＭＳ 明朝" w:eastAsia="ＭＳ 明朝" w:hAnsi="ＭＳ 明朝" w:cs="ＭＳ Ｐゴシック"/>
          <w:kern w:val="0"/>
          <w:szCs w:val="21"/>
          <w:lang w:val="en-US" w:eastAsia="ja-JP"/>
          <w14:ligatures w14:val="none"/>
        </w:rPr>
        <w:t>私たち</w:t>
      </w:r>
      <w:r w:rsidRPr="00160F80">
        <w:rPr>
          <w:rFonts w:ascii="ＭＳ 明朝" w:eastAsia="ＭＳ 明朝" w:hAnsi="ＭＳ 明朝" w:cs="ＭＳ Ｐゴシック"/>
          <w:kern w:val="0"/>
          <w:szCs w:val="21"/>
          <w:lang w:val="en-US" w:eastAsia="ja-JP"/>
          <w14:ligatures w14:val="none"/>
        </w:rPr>
        <w:t>の交渉において適切に</w:t>
      </w:r>
      <w:r w:rsidR="005B0775">
        <w:rPr>
          <w:rFonts w:ascii="ＭＳ 明朝" w:eastAsia="ＭＳ 明朝" w:hAnsi="ＭＳ 明朝" w:cs="ＭＳ Ｐゴシック" w:hint="eastAsia"/>
          <w:kern w:val="0"/>
          <w:szCs w:val="21"/>
          <w:lang w:val="en-US" w:eastAsia="ja-JP"/>
          <w14:ligatures w14:val="none"/>
        </w:rPr>
        <w:t>取り上げられ</w:t>
      </w:r>
      <w:r w:rsidRPr="00160F80">
        <w:rPr>
          <w:rFonts w:ascii="ＭＳ 明朝" w:eastAsia="ＭＳ 明朝" w:hAnsi="ＭＳ 明朝" w:cs="ＭＳ Ｐゴシック"/>
          <w:kern w:val="0"/>
          <w:szCs w:val="21"/>
          <w:lang w:val="en-US" w:eastAsia="ja-JP"/>
          <w14:ligatures w14:val="none"/>
        </w:rPr>
        <w:t>、</w:t>
      </w:r>
      <w:r w:rsidR="005B0775">
        <w:rPr>
          <w:rFonts w:ascii="ＭＳ 明朝" w:eastAsia="ＭＳ 明朝" w:hAnsi="ＭＳ 明朝" w:cs="ＭＳ Ｐゴシック" w:hint="eastAsia"/>
          <w:kern w:val="0"/>
          <w:szCs w:val="21"/>
          <w:lang w:val="en-US" w:eastAsia="ja-JP"/>
          <w14:ligatures w14:val="none"/>
        </w:rPr>
        <w:t>各</w:t>
      </w:r>
      <w:r w:rsidRPr="00160F80">
        <w:rPr>
          <w:rFonts w:ascii="ＭＳ 明朝" w:eastAsia="ＭＳ 明朝" w:hAnsi="ＭＳ 明朝" w:cs="ＭＳ Ｐゴシック"/>
          <w:kern w:val="0"/>
          <w:szCs w:val="21"/>
          <w:lang w:val="en-US" w:eastAsia="ja-JP"/>
          <w14:ligatures w14:val="none"/>
        </w:rPr>
        <w:t>人権条約によって確立された既存の高い基準が疑問視されないことを期待してい</w:t>
      </w:r>
      <w:r w:rsidR="00C22382">
        <w:rPr>
          <w:rFonts w:ascii="ＭＳ 明朝" w:eastAsia="ＭＳ 明朝" w:hAnsi="ＭＳ 明朝" w:cs="ＭＳ Ｐゴシック" w:hint="eastAsia"/>
          <w:kern w:val="0"/>
          <w:szCs w:val="21"/>
          <w:lang w:val="en-US" w:eastAsia="ja-JP"/>
          <w14:ligatures w14:val="none"/>
        </w:rPr>
        <w:t>ます</w:t>
      </w:r>
      <w:r w:rsidRPr="00160F80">
        <w:rPr>
          <w:rFonts w:ascii="ＭＳ 明朝" w:eastAsia="ＭＳ 明朝" w:hAnsi="ＭＳ 明朝" w:cs="ＭＳ Ｐゴシック"/>
          <w:kern w:val="0"/>
          <w:szCs w:val="21"/>
          <w:lang w:val="en-US" w:eastAsia="ja-JP"/>
          <w14:ligatures w14:val="none"/>
        </w:rPr>
        <w:t>。</w:t>
      </w:r>
    </w:p>
    <w:p w14:paraId="71B038B8" w14:textId="2FEF06DA" w:rsidR="00160F80" w:rsidRPr="00160F80" w:rsidRDefault="00160F80" w:rsidP="00160F80">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160F80">
        <w:rPr>
          <w:rFonts w:ascii="ＭＳ 明朝" w:eastAsia="ＭＳ 明朝" w:hAnsi="ＭＳ 明朝" w:cs="ＭＳ Ｐゴシック"/>
          <w:kern w:val="0"/>
          <w:szCs w:val="21"/>
          <w:lang w:val="en-US" w:eastAsia="ja-JP"/>
          <w14:ligatures w14:val="none"/>
        </w:rPr>
        <w:t>国連全体</w:t>
      </w:r>
      <w:r w:rsidR="008B7225">
        <w:rPr>
          <w:rFonts w:ascii="ＭＳ 明朝" w:eastAsia="ＭＳ 明朝" w:hAnsi="ＭＳ 明朝" w:cs="ＭＳ Ｐゴシック" w:hint="eastAsia"/>
          <w:kern w:val="0"/>
          <w:szCs w:val="21"/>
          <w:lang w:val="en-US" w:eastAsia="ja-JP"/>
          <w14:ligatures w14:val="none"/>
        </w:rPr>
        <w:t>の</w:t>
      </w:r>
      <w:r w:rsidRPr="00160F80">
        <w:rPr>
          <w:rFonts w:ascii="ＭＳ 明朝" w:eastAsia="ＭＳ 明朝" w:hAnsi="ＭＳ 明朝" w:cs="ＭＳ Ｐゴシック"/>
          <w:kern w:val="0"/>
          <w:szCs w:val="21"/>
          <w:lang w:val="en-US" w:eastAsia="ja-JP"/>
          <w14:ligatures w14:val="none"/>
        </w:rPr>
        <w:t>蓄積</w:t>
      </w:r>
      <w:r w:rsidR="008B7225">
        <w:rPr>
          <w:rFonts w:ascii="ＭＳ 明朝" w:eastAsia="ＭＳ 明朝" w:hAnsi="ＭＳ 明朝" w:cs="ＭＳ Ｐゴシック" w:hint="eastAsia"/>
          <w:kern w:val="0"/>
          <w:szCs w:val="21"/>
          <w:lang w:val="en-US" w:eastAsia="ja-JP"/>
          <w14:ligatures w14:val="none"/>
        </w:rPr>
        <w:t>と</w:t>
      </w:r>
      <w:r w:rsidRPr="00160F80">
        <w:rPr>
          <w:rFonts w:ascii="ＭＳ 明朝" w:eastAsia="ＭＳ 明朝" w:hAnsi="ＭＳ 明朝" w:cs="ＭＳ Ｐゴシック"/>
          <w:kern w:val="0"/>
          <w:szCs w:val="21"/>
          <w:lang w:val="en-US" w:eastAsia="ja-JP"/>
          <w14:ligatures w14:val="none"/>
        </w:rPr>
        <w:t>運営をより効率的なものにするための</w:t>
      </w:r>
      <w:r w:rsidR="008B7225">
        <w:rPr>
          <w:rFonts w:ascii="ＭＳ 明朝" w:eastAsia="ＭＳ 明朝" w:hAnsi="ＭＳ 明朝" w:cs="ＭＳ Ｐゴシック" w:hint="eastAsia"/>
          <w:kern w:val="0"/>
          <w:szCs w:val="21"/>
          <w:lang w:val="en-US" w:eastAsia="ja-JP"/>
          <w14:ligatures w14:val="none"/>
        </w:rPr>
        <w:t>努力</w:t>
      </w:r>
      <w:r w:rsidRPr="00160F80">
        <w:rPr>
          <w:rFonts w:ascii="ＭＳ 明朝" w:eastAsia="ＭＳ 明朝" w:hAnsi="ＭＳ 明朝" w:cs="ＭＳ Ｐゴシック"/>
          <w:kern w:val="0"/>
          <w:szCs w:val="21"/>
          <w:lang w:val="en-US" w:eastAsia="ja-JP"/>
          <w14:ligatures w14:val="none"/>
        </w:rPr>
        <w:t>を踏まえ</w:t>
      </w:r>
      <w:r w:rsidR="008B7225">
        <w:rPr>
          <w:rFonts w:ascii="ＭＳ 明朝" w:eastAsia="ＭＳ 明朝" w:hAnsi="ＭＳ 明朝" w:cs="ＭＳ Ｐゴシック" w:hint="eastAsia"/>
          <w:kern w:val="0"/>
          <w:szCs w:val="21"/>
          <w:lang w:val="en-US" w:eastAsia="ja-JP"/>
          <w14:ligatures w14:val="none"/>
        </w:rPr>
        <w:t>つつ</w:t>
      </w:r>
      <w:r w:rsidRPr="00160F80">
        <w:rPr>
          <w:rFonts w:ascii="ＭＳ 明朝" w:eastAsia="ＭＳ 明朝" w:hAnsi="ＭＳ 明朝" w:cs="ＭＳ Ｐゴシック"/>
          <w:kern w:val="0"/>
          <w:szCs w:val="21"/>
          <w:lang w:val="en-US" w:eastAsia="ja-JP"/>
          <w14:ligatures w14:val="none"/>
        </w:rPr>
        <w:t>、</w:t>
      </w:r>
      <w:r w:rsidR="00C22382">
        <w:rPr>
          <w:rFonts w:ascii="ＭＳ 明朝" w:eastAsia="ＭＳ 明朝" w:hAnsi="ＭＳ 明朝" w:cs="ＭＳ Ｐゴシック"/>
          <w:kern w:val="0"/>
          <w:szCs w:val="21"/>
          <w:lang w:val="en-US" w:eastAsia="ja-JP"/>
          <w14:ligatures w14:val="none"/>
        </w:rPr>
        <w:t>私たち</w:t>
      </w:r>
      <w:r w:rsidRPr="00160F80">
        <w:rPr>
          <w:rFonts w:ascii="ＭＳ 明朝" w:eastAsia="ＭＳ 明朝" w:hAnsi="ＭＳ 明朝" w:cs="ＭＳ Ｐゴシック"/>
          <w:kern w:val="0"/>
          <w:szCs w:val="21"/>
          <w:lang w:val="en-US" w:eastAsia="ja-JP"/>
          <w14:ligatures w14:val="none"/>
        </w:rPr>
        <w:t>は、</w:t>
      </w:r>
      <w:r w:rsidR="008B7225">
        <w:rPr>
          <w:rFonts w:ascii="ＭＳ 明朝" w:eastAsia="ＭＳ 明朝" w:hAnsi="ＭＳ 明朝" w:cs="ＭＳ Ｐゴシック" w:hint="eastAsia"/>
          <w:kern w:val="0"/>
          <w:szCs w:val="21"/>
          <w:lang w:val="en-US" w:eastAsia="ja-JP"/>
          <w14:ligatures w14:val="none"/>
        </w:rPr>
        <w:t>各</w:t>
      </w:r>
      <w:r w:rsidRPr="00160F80">
        <w:rPr>
          <w:rFonts w:ascii="ＭＳ 明朝" w:eastAsia="ＭＳ 明朝" w:hAnsi="ＭＳ 明朝" w:cs="ＭＳ Ｐゴシック"/>
          <w:kern w:val="0"/>
          <w:szCs w:val="21"/>
          <w:lang w:val="en-US" w:eastAsia="ja-JP"/>
          <w14:ligatures w14:val="none"/>
        </w:rPr>
        <w:t>人権条約と整合し、重複</w:t>
      </w:r>
      <w:r w:rsidR="00C35B1A">
        <w:rPr>
          <w:rFonts w:ascii="ＭＳ 明朝" w:eastAsia="ＭＳ 明朝" w:hAnsi="ＭＳ 明朝" w:cs="ＭＳ Ｐゴシック" w:hint="eastAsia"/>
          <w:kern w:val="0"/>
          <w:szCs w:val="21"/>
          <w:lang w:val="en-US" w:eastAsia="ja-JP"/>
          <w14:ligatures w14:val="none"/>
        </w:rPr>
        <w:t>なく</w:t>
      </w:r>
      <w:r w:rsidRPr="00160F80">
        <w:rPr>
          <w:rFonts w:ascii="ＭＳ 明朝" w:eastAsia="ＭＳ 明朝" w:hAnsi="ＭＳ 明朝" w:cs="ＭＳ Ｐゴシック"/>
          <w:kern w:val="0"/>
          <w:szCs w:val="21"/>
          <w:lang w:val="en-US" w:eastAsia="ja-JP"/>
          <w14:ligatures w14:val="none"/>
        </w:rPr>
        <w:t>既存の国連構造にうまく適合する、無駄のない有意義な枠組みを支持</w:t>
      </w:r>
      <w:r w:rsidR="00C22382">
        <w:rPr>
          <w:rFonts w:ascii="ＭＳ 明朝" w:eastAsia="ＭＳ 明朝" w:hAnsi="ＭＳ 明朝" w:cs="ＭＳ Ｐゴシック" w:hint="eastAsia"/>
          <w:kern w:val="0"/>
          <w:szCs w:val="21"/>
          <w:lang w:val="en-US" w:eastAsia="ja-JP"/>
          <w14:ligatures w14:val="none"/>
        </w:rPr>
        <w:t>します</w:t>
      </w:r>
      <w:r w:rsidRPr="00160F80">
        <w:rPr>
          <w:rFonts w:ascii="ＭＳ 明朝" w:eastAsia="ＭＳ 明朝" w:hAnsi="ＭＳ 明朝" w:cs="ＭＳ Ｐゴシック"/>
          <w:kern w:val="0"/>
          <w:szCs w:val="21"/>
          <w:lang w:val="en-US" w:eastAsia="ja-JP"/>
          <w14:ligatures w14:val="none"/>
        </w:rPr>
        <w:t>。</w:t>
      </w:r>
    </w:p>
    <w:p w14:paraId="107CE74E" w14:textId="6C30EDC9" w:rsidR="00160F80" w:rsidRPr="00160F80" w:rsidRDefault="00160F80" w:rsidP="00160F80">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160F80">
        <w:rPr>
          <w:rFonts w:ascii="ＭＳ 明朝" w:eastAsia="ＭＳ 明朝" w:hAnsi="ＭＳ 明朝" w:cs="ＭＳ Ｐゴシック"/>
          <w:kern w:val="0"/>
          <w:szCs w:val="21"/>
          <w:lang w:val="en-US" w:eastAsia="ja-JP"/>
          <w14:ligatures w14:val="none"/>
        </w:rPr>
        <w:t>現実</w:t>
      </w:r>
      <w:r w:rsidR="00C35B1A">
        <w:rPr>
          <w:rFonts w:ascii="ＭＳ 明朝" w:eastAsia="ＭＳ 明朝" w:hAnsi="ＭＳ 明朝" w:cs="ＭＳ Ｐゴシック" w:hint="eastAsia"/>
          <w:kern w:val="0"/>
          <w:szCs w:val="21"/>
          <w:lang w:val="en-US" w:eastAsia="ja-JP"/>
          <w14:ligatures w14:val="none"/>
        </w:rPr>
        <w:t>の</w:t>
      </w:r>
      <w:r w:rsidRPr="00160F80">
        <w:rPr>
          <w:rFonts w:ascii="ＭＳ 明朝" w:eastAsia="ＭＳ 明朝" w:hAnsi="ＭＳ 明朝" w:cs="ＭＳ Ｐゴシック"/>
          <w:kern w:val="0"/>
          <w:szCs w:val="21"/>
          <w:lang w:val="en-US" w:eastAsia="ja-JP"/>
          <w14:ligatures w14:val="none"/>
        </w:rPr>
        <w:t>人口動態の変化に目を向け、世代間の公平を念頭に置くことは、本会合から始まる審議</w:t>
      </w:r>
      <w:r w:rsidR="00C35B1A">
        <w:rPr>
          <w:rFonts w:ascii="ＭＳ 明朝" w:eastAsia="ＭＳ 明朝" w:hAnsi="ＭＳ 明朝" w:cs="ＭＳ Ｐゴシック" w:hint="eastAsia"/>
          <w:kern w:val="0"/>
          <w:szCs w:val="21"/>
          <w:lang w:val="en-US" w:eastAsia="ja-JP"/>
          <w14:ligatures w14:val="none"/>
        </w:rPr>
        <w:t>の</w:t>
      </w:r>
      <w:r w:rsidRPr="00160F80">
        <w:rPr>
          <w:rFonts w:ascii="ＭＳ 明朝" w:eastAsia="ＭＳ 明朝" w:hAnsi="ＭＳ 明朝" w:cs="ＭＳ Ｐゴシック"/>
          <w:kern w:val="0"/>
          <w:szCs w:val="21"/>
          <w:lang w:val="en-US" w:eastAsia="ja-JP"/>
          <w14:ligatures w14:val="none"/>
        </w:rPr>
        <w:t>もう一つの指針となるべきで</w:t>
      </w:r>
      <w:r w:rsidR="00C22382">
        <w:rPr>
          <w:rFonts w:ascii="ＭＳ 明朝" w:eastAsia="ＭＳ 明朝" w:hAnsi="ＭＳ 明朝" w:cs="ＭＳ Ｐゴシック" w:hint="eastAsia"/>
          <w:kern w:val="0"/>
          <w:szCs w:val="21"/>
          <w:lang w:val="en-US" w:eastAsia="ja-JP"/>
          <w14:ligatures w14:val="none"/>
        </w:rPr>
        <w:t>す</w:t>
      </w:r>
      <w:r w:rsidRPr="00160F80">
        <w:rPr>
          <w:rFonts w:ascii="ＭＳ 明朝" w:eastAsia="ＭＳ 明朝" w:hAnsi="ＭＳ 明朝" w:cs="ＭＳ Ｐゴシック"/>
          <w:kern w:val="0"/>
          <w:szCs w:val="21"/>
          <w:lang w:val="en-US" w:eastAsia="ja-JP"/>
          <w14:ligatures w14:val="none"/>
        </w:rPr>
        <w:t>。</w:t>
      </w:r>
    </w:p>
    <w:p w14:paraId="22C24393" w14:textId="77777777" w:rsidR="00160F80" w:rsidRPr="00160F80" w:rsidRDefault="00160F80" w:rsidP="00160F80">
      <w:pPr>
        <w:widowControl/>
        <w:spacing w:before="100" w:beforeAutospacing="1" w:after="100" w:afterAutospacing="1"/>
        <w:ind w:firstLineChars="100" w:firstLine="210"/>
        <w:jc w:val="left"/>
        <w:rPr>
          <w:rFonts w:ascii="ＭＳ 明朝" w:eastAsia="ＭＳ 明朝" w:hAnsi="ＭＳ 明朝" w:cs="ＭＳ Ｐゴシック"/>
          <w:kern w:val="0"/>
          <w:szCs w:val="21"/>
          <w:lang w:val="en-US" w:eastAsia="ja-JP"/>
          <w14:ligatures w14:val="none"/>
        </w:rPr>
      </w:pPr>
      <w:r w:rsidRPr="00160F80">
        <w:rPr>
          <w:rFonts w:ascii="ＭＳ 明朝" w:eastAsia="ＭＳ 明朝" w:hAnsi="ＭＳ 明朝" w:cs="ＭＳ Ｐゴシック"/>
          <w:kern w:val="0"/>
          <w:szCs w:val="21"/>
          <w:lang w:val="en-US" w:eastAsia="ja-JP"/>
          <w14:ligatures w14:val="none"/>
        </w:rPr>
        <w:t>ご清聴ありがとうございました。</w:t>
      </w:r>
    </w:p>
    <w:p w14:paraId="09141018" w14:textId="77777777" w:rsidR="00D64A5F" w:rsidRDefault="00D64A5F" w:rsidP="00D64A5F">
      <w:pPr>
        <w:pStyle w:val="Web"/>
        <w:jc w:val="right"/>
        <w:rPr>
          <w:rFonts w:ascii="ＭＳ 明朝" w:eastAsia="ＭＳ 明朝" w:hAnsi="ＭＳ 明朝"/>
        </w:rPr>
      </w:pPr>
      <w:r w:rsidRPr="001C6C39">
        <w:rPr>
          <w:rFonts w:ascii="ＭＳ 明朝" w:eastAsia="ＭＳ 明朝" w:hAnsi="ＭＳ 明朝" w:hint="eastAsia"/>
        </w:rPr>
        <w:t>（翻訳：佐藤久夫、　　　　）</w:t>
      </w:r>
    </w:p>
    <w:p w14:paraId="11A726A3" w14:textId="77777777" w:rsidR="00160F80" w:rsidRPr="00160F80" w:rsidRDefault="00160F80" w:rsidP="00160F80">
      <w:pPr>
        <w:widowControl/>
        <w:spacing w:before="100" w:beforeAutospacing="1" w:after="100" w:afterAutospacing="1"/>
        <w:jc w:val="left"/>
        <w:rPr>
          <w:rFonts w:ascii="ＭＳ Ｐゴシック" w:eastAsia="ＭＳ Ｐゴシック" w:hAnsi="ＭＳ Ｐゴシック" w:cs="ＭＳ Ｐゴシック"/>
          <w:kern w:val="0"/>
          <w:sz w:val="24"/>
          <w:szCs w:val="24"/>
          <w:lang w:val="en-US" w:eastAsia="ja-JP"/>
          <w14:ligatures w14:val="none"/>
        </w:rPr>
      </w:pPr>
    </w:p>
    <w:p w14:paraId="534B2715" w14:textId="77777777" w:rsidR="00160F80" w:rsidRDefault="00160F80">
      <w:pPr>
        <w:rPr>
          <w:lang w:eastAsia="ja-JP"/>
        </w:rPr>
      </w:pPr>
    </w:p>
    <w:p w14:paraId="1D0031A5" w14:textId="77777777" w:rsidR="00160F80" w:rsidRPr="00160F80" w:rsidRDefault="00160F80" w:rsidP="00160F80">
      <w:pPr>
        <w:rPr>
          <w:szCs w:val="21"/>
        </w:rPr>
      </w:pPr>
      <w:r w:rsidRPr="00160F80">
        <w:rPr>
          <w:szCs w:val="21"/>
        </w:rPr>
        <w:lastRenderedPageBreak/>
        <w:t>German Statement</w:t>
      </w:r>
    </w:p>
    <w:p w14:paraId="2B7D4762" w14:textId="77777777" w:rsidR="00160F80" w:rsidRPr="00160F80" w:rsidRDefault="00160F80" w:rsidP="00160F80">
      <w:pPr>
        <w:rPr>
          <w:szCs w:val="21"/>
        </w:rPr>
      </w:pPr>
    </w:p>
    <w:p w14:paraId="21B2F8F9" w14:textId="77777777" w:rsidR="00160F80" w:rsidRPr="00160F80" w:rsidRDefault="00160F80" w:rsidP="00160F80">
      <w:pPr>
        <w:spacing w:after="200" w:line="360" w:lineRule="auto"/>
        <w:rPr>
          <w:rFonts w:ascii="Times New Roman" w:hAnsi="Times New Roman" w:cs="Times New Roman"/>
          <w:b/>
          <w:szCs w:val="21"/>
        </w:rPr>
      </w:pPr>
      <w:r w:rsidRPr="00160F80">
        <w:rPr>
          <w:rFonts w:ascii="Times New Roman" w:hAnsi="Times New Roman" w:cs="Times New Roman"/>
          <w:szCs w:val="21"/>
        </w:rPr>
        <w:t>Thank you, Mr./Madam Chair.</w:t>
      </w:r>
    </w:p>
    <w:p w14:paraId="6A062AC5" w14:textId="77777777" w:rsidR="00160F80" w:rsidRPr="00160F80" w:rsidRDefault="00160F80" w:rsidP="00160F80">
      <w:pPr>
        <w:spacing w:after="200" w:line="360" w:lineRule="auto"/>
        <w:rPr>
          <w:rFonts w:ascii="Times New Roman" w:hAnsi="Times New Roman" w:cs="Times New Roman"/>
          <w:b/>
          <w:szCs w:val="21"/>
        </w:rPr>
      </w:pPr>
      <w:r w:rsidRPr="00160F80">
        <w:rPr>
          <w:rFonts w:ascii="Times New Roman" w:hAnsi="Times New Roman" w:cs="Times New Roman"/>
          <w:szCs w:val="21"/>
        </w:rPr>
        <w:t>On behalf of Germany, I thank the organizers for convening this meeting to begin the work of drafting a legally binding instrument on the promotion and protection of the human rights of older persons.</w:t>
      </w:r>
    </w:p>
    <w:p w14:paraId="09A3A648" w14:textId="77777777" w:rsidR="00160F80" w:rsidRPr="00160F80" w:rsidRDefault="00160F80" w:rsidP="00160F80">
      <w:pPr>
        <w:spacing w:after="200" w:line="360" w:lineRule="auto"/>
        <w:rPr>
          <w:rFonts w:ascii="Times New Roman" w:hAnsi="Times New Roman" w:cs="Times New Roman"/>
          <w:b/>
          <w:szCs w:val="21"/>
        </w:rPr>
      </w:pPr>
      <w:r w:rsidRPr="00160F80">
        <w:rPr>
          <w:rFonts w:ascii="Times New Roman" w:hAnsi="Times New Roman" w:cs="Times New Roman"/>
          <w:szCs w:val="21"/>
        </w:rPr>
        <w:t>Germany aligns itself with the statement delivered by the European Union.</w:t>
      </w:r>
    </w:p>
    <w:p w14:paraId="662EBC0B" w14:textId="77777777" w:rsidR="00160F80" w:rsidRPr="00160F80" w:rsidRDefault="00160F80" w:rsidP="00160F80">
      <w:pPr>
        <w:spacing w:after="200" w:line="360" w:lineRule="auto"/>
        <w:rPr>
          <w:rFonts w:ascii="Times New Roman" w:hAnsi="Times New Roman" w:cs="Times New Roman"/>
          <w:b/>
          <w:szCs w:val="21"/>
        </w:rPr>
      </w:pPr>
      <w:r w:rsidRPr="00160F80">
        <w:rPr>
          <w:rFonts w:ascii="Times New Roman" w:hAnsi="Times New Roman" w:cs="Times New Roman"/>
          <w:szCs w:val="21"/>
        </w:rPr>
        <w:t xml:space="preserve">Population Ageing is one of the big transitions of the 21st century. In 2020, for the first time in history, people aged 60 years and over outnumbered children under 5 years. By 2050, there will be more than twice as many people over 60 as children under 5. By 2050, people aged 60 years and over will outnumber adolescents and young people aged 15–24 years. </w:t>
      </w:r>
    </w:p>
    <w:p w14:paraId="29F0F26D" w14:textId="77777777" w:rsidR="00160F80" w:rsidRPr="00160F80" w:rsidRDefault="00160F80" w:rsidP="00160F80">
      <w:pPr>
        <w:spacing w:after="200" w:line="360" w:lineRule="auto"/>
        <w:rPr>
          <w:rFonts w:ascii="Times New Roman" w:hAnsi="Times New Roman" w:cs="Times New Roman"/>
          <w:b/>
          <w:szCs w:val="21"/>
        </w:rPr>
      </w:pPr>
      <w:r w:rsidRPr="00160F80">
        <w:rPr>
          <w:rFonts w:ascii="Times New Roman" w:hAnsi="Times New Roman" w:cs="Times New Roman"/>
          <w:szCs w:val="21"/>
        </w:rPr>
        <w:t>Being convinced that the fact of rising life expectancy should be given more attention, Germany has been actively engaged in the deliberations of the UN Open-ended Working Group on Ageing.  In its decision 14/1, the group has identified 14 areas of concern in the field of the promotion and protection of the human rights of older persons which should be looked into, a legally binding document was one of them.</w:t>
      </w:r>
    </w:p>
    <w:p w14:paraId="1B90FFD0" w14:textId="77777777" w:rsidR="00160F80" w:rsidRPr="00160F80" w:rsidRDefault="00160F80" w:rsidP="00160F80">
      <w:pPr>
        <w:spacing w:after="200" w:line="360" w:lineRule="auto"/>
        <w:rPr>
          <w:rFonts w:ascii="Times New Roman" w:hAnsi="Times New Roman" w:cs="Times New Roman"/>
          <w:b/>
          <w:szCs w:val="21"/>
        </w:rPr>
      </w:pPr>
      <w:r w:rsidRPr="00160F80">
        <w:rPr>
          <w:rFonts w:ascii="Times New Roman" w:hAnsi="Times New Roman" w:cs="Times New Roman"/>
          <w:szCs w:val="21"/>
        </w:rPr>
        <w:t xml:space="preserve">The Open-Ended Working Group on Ageing was inspired by the input of Civil Society, NHRIs and representatives of older persons. We think that this input should be honored and will be useful for the work of this Intergovernmental Working Group as well. We welcome their participation in this opening meeting and expect to continue the fruitful exchange to promote the human rights of older persons. </w:t>
      </w:r>
    </w:p>
    <w:p w14:paraId="24B29B97" w14:textId="77777777" w:rsidR="00160F80" w:rsidRPr="00160F80" w:rsidRDefault="00160F80" w:rsidP="00160F80">
      <w:pPr>
        <w:spacing w:after="200" w:line="360" w:lineRule="auto"/>
        <w:rPr>
          <w:rFonts w:ascii="Times New Roman" w:hAnsi="Times New Roman" w:cs="Times New Roman"/>
          <w:b/>
          <w:szCs w:val="21"/>
        </w:rPr>
      </w:pPr>
      <w:r w:rsidRPr="00160F80">
        <w:rPr>
          <w:rFonts w:ascii="Times New Roman" w:hAnsi="Times New Roman" w:cs="Times New Roman"/>
          <w:szCs w:val="21"/>
        </w:rPr>
        <w:t>We call to build upon the work of the Open-ended Working Group on Ageing, especially on the results of the intersessional questionnaire to which many member states submitted input.</w:t>
      </w:r>
    </w:p>
    <w:p w14:paraId="7307BF34" w14:textId="77777777" w:rsidR="00160F80" w:rsidRPr="00160F80" w:rsidRDefault="00160F80" w:rsidP="00160F80">
      <w:pPr>
        <w:spacing w:after="200" w:line="360" w:lineRule="auto"/>
        <w:rPr>
          <w:rFonts w:ascii="Times New Roman" w:hAnsi="Times New Roman" w:cs="Times New Roman"/>
          <w:b/>
          <w:szCs w:val="21"/>
        </w:rPr>
      </w:pPr>
      <w:r w:rsidRPr="00160F80">
        <w:rPr>
          <w:rFonts w:ascii="Times New Roman" w:hAnsi="Times New Roman" w:cs="Times New Roman"/>
          <w:szCs w:val="21"/>
        </w:rPr>
        <w:t xml:space="preserve">Germany expects that all human rights will be duly reflected in our negotiations and that there will be no room for questioning the high existing standards established by the human rights treaties. </w:t>
      </w:r>
    </w:p>
    <w:p w14:paraId="0B3F1572" w14:textId="77777777" w:rsidR="00160F80" w:rsidRPr="00160F80" w:rsidRDefault="00160F80" w:rsidP="00160F80">
      <w:pPr>
        <w:spacing w:after="200" w:line="360" w:lineRule="auto"/>
        <w:rPr>
          <w:rFonts w:ascii="Times New Roman" w:hAnsi="Times New Roman" w:cs="Times New Roman"/>
          <w:b/>
          <w:szCs w:val="21"/>
        </w:rPr>
      </w:pPr>
      <w:r w:rsidRPr="00160F80">
        <w:rPr>
          <w:rFonts w:ascii="Times New Roman" w:hAnsi="Times New Roman" w:cs="Times New Roman"/>
          <w:szCs w:val="21"/>
        </w:rPr>
        <w:t>With the view to efforts of the UN as a whole to make its acquis and administration more efficient, we are supporters of a lean and meaningful instrument, that is consistent with the human rights treaties, and fits well into existing UN structures without creating redundancies.</w:t>
      </w:r>
    </w:p>
    <w:p w14:paraId="0E266B18" w14:textId="77777777" w:rsidR="00160F80" w:rsidRPr="00160F80" w:rsidRDefault="00160F80" w:rsidP="00160F80">
      <w:pPr>
        <w:spacing w:after="200" w:line="360" w:lineRule="auto"/>
        <w:rPr>
          <w:rFonts w:ascii="Times New Roman" w:hAnsi="Times New Roman" w:cs="Times New Roman"/>
          <w:b/>
          <w:szCs w:val="21"/>
        </w:rPr>
      </w:pPr>
      <w:r w:rsidRPr="00160F80">
        <w:rPr>
          <w:rFonts w:ascii="Times New Roman" w:hAnsi="Times New Roman" w:cs="Times New Roman"/>
          <w:szCs w:val="21"/>
        </w:rPr>
        <w:t>Looking into demographic change, which is a reality, bearing in mind intergenerational fairness should be another guiding principle in the deliberations we start with this meeting.</w:t>
      </w:r>
    </w:p>
    <w:p w14:paraId="0F547FB6" w14:textId="372665B5" w:rsidR="00160F80" w:rsidRDefault="00160F80" w:rsidP="00160F80">
      <w:pPr>
        <w:spacing w:after="200" w:line="360" w:lineRule="auto"/>
        <w:rPr>
          <w:lang w:eastAsia="ja-JP"/>
        </w:rPr>
      </w:pPr>
      <w:r w:rsidRPr="00160F80">
        <w:rPr>
          <w:rFonts w:ascii="Times New Roman" w:hAnsi="Times New Roman" w:cs="Times New Roman"/>
          <w:szCs w:val="21"/>
        </w:rPr>
        <w:t>Thank you very much for your attention.</w:t>
      </w:r>
    </w:p>
    <w:sectPr w:rsidR="00160F80" w:rsidSect="006A05DC">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73217" w14:textId="77777777" w:rsidR="005C4A7B" w:rsidRDefault="005C4A7B" w:rsidP="005C4A7B">
      <w:r>
        <w:separator/>
      </w:r>
    </w:p>
  </w:endnote>
  <w:endnote w:type="continuationSeparator" w:id="0">
    <w:p w14:paraId="66F2F157" w14:textId="77777777" w:rsidR="005C4A7B" w:rsidRDefault="005C4A7B" w:rsidP="005C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AFC9" w14:textId="77777777" w:rsidR="005C4A7B" w:rsidRDefault="005C4A7B" w:rsidP="005C4A7B">
      <w:r>
        <w:separator/>
      </w:r>
    </w:p>
  </w:footnote>
  <w:footnote w:type="continuationSeparator" w:id="0">
    <w:p w14:paraId="5E1A9FD2" w14:textId="77777777" w:rsidR="005C4A7B" w:rsidRDefault="005C4A7B" w:rsidP="005C4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80"/>
    <w:rsid w:val="000B2AFD"/>
    <w:rsid w:val="00152B39"/>
    <w:rsid w:val="00160F80"/>
    <w:rsid w:val="003126F0"/>
    <w:rsid w:val="00323F1A"/>
    <w:rsid w:val="00394627"/>
    <w:rsid w:val="003A6E34"/>
    <w:rsid w:val="005B0775"/>
    <w:rsid w:val="005C4A7B"/>
    <w:rsid w:val="00692D7C"/>
    <w:rsid w:val="006A05DC"/>
    <w:rsid w:val="0070471F"/>
    <w:rsid w:val="008477F2"/>
    <w:rsid w:val="008B7225"/>
    <w:rsid w:val="00AF582A"/>
    <w:rsid w:val="00B37471"/>
    <w:rsid w:val="00B638C3"/>
    <w:rsid w:val="00C22382"/>
    <w:rsid w:val="00C35B1A"/>
    <w:rsid w:val="00D61491"/>
    <w:rsid w:val="00D64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A6E973"/>
  <w15:chartTrackingRefBased/>
  <w15:docId w15:val="{0E7D8C22-7188-4A29-83C6-E171E411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0F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0F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0F8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0F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0F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0F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0F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0F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0F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0F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0F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0F8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0F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0F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0F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0F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0F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0F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0F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0F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0F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0F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0F80"/>
    <w:pPr>
      <w:spacing w:before="160" w:after="160"/>
      <w:jc w:val="center"/>
    </w:pPr>
    <w:rPr>
      <w:i/>
      <w:iCs/>
      <w:color w:val="404040" w:themeColor="text1" w:themeTint="BF"/>
    </w:rPr>
  </w:style>
  <w:style w:type="character" w:customStyle="1" w:styleId="a8">
    <w:name w:val="引用文 (文字)"/>
    <w:basedOn w:val="a0"/>
    <w:link w:val="a7"/>
    <w:uiPriority w:val="29"/>
    <w:rsid w:val="00160F80"/>
    <w:rPr>
      <w:i/>
      <w:iCs/>
      <w:color w:val="404040" w:themeColor="text1" w:themeTint="BF"/>
    </w:rPr>
  </w:style>
  <w:style w:type="paragraph" w:styleId="a9">
    <w:name w:val="List Paragraph"/>
    <w:basedOn w:val="a"/>
    <w:uiPriority w:val="34"/>
    <w:qFormat/>
    <w:rsid w:val="00160F80"/>
    <w:pPr>
      <w:ind w:left="720"/>
      <w:contextualSpacing/>
    </w:pPr>
  </w:style>
  <w:style w:type="character" w:styleId="21">
    <w:name w:val="Intense Emphasis"/>
    <w:basedOn w:val="a0"/>
    <w:uiPriority w:val="21"/>
    <w:qFormat/>
    <w:rsid w:val="00160F80"/>
    <w:rPr>
      <w:i/>
      <w:iCs/>
      <w:color w:val="2F5496" w:themeColor="accent1" w:themeShade="BF"/>
    </w:rPr>
  </w:style>
  <w:style w:type="paragraph" w:styleId="22">
    <w:name w:val="Intense Quote"/>
    <w:basedOn w:val="a"/>
    <w:next w:val="a"/>
    <w:link w:val="23"/>
    <w:uiPriority w:val="30"/>
    <w:qFormat/>
    <w:rsid w:val="00160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60F80"/>
    <w:rPr>
      <w:i/>
      <w:iCs/>
      <w:color w:val="2F5496" w:themeColor="accent1" w:themeShade="BF"/>
    </w:rPr>
  </w:style>
  <w:style w:type="character" w:styleId="24">
    <w:name w:val="Intense Reference"/>
    <w:basedOn w:val="a0"/>
    <w:uiPriority w:val="32"/>
    <w:qFormat/>
    <w:rsid w:val="00160F80"/>
    <w:rPr>
      <w:b/>
      <w:bCs/>
      <w:smallCaps/>
      <w:color w:val="2F5496" w:themeColor="accent1" w:themeShade="BF"/>
      <w:spacing w:val="5"/>
    </w:rPr>
  </w:style>
  <w:style w:type="paragraph" w:styleId="Web">
    <w:name w:val="Normal (Web)"/>
    <w:basedOn w:val="a"/>
    <w:uiPriority w:val="99"/>
    <w:semiHidden/>
    <w:unhideWhenUsed/>
    <w:rsid w:val="00160F80"/>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dcterms:created xsi:type="dcterms:W3CDTF">2026-05-10T03:43:00Z</dcterms:created>
  <dcterms:modified xsi:type="dcterms:W3CDTF">2026-05-10T03:43:00Z</dcterms:modified>
</cp:coreProperties>
</file>