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DC70" w14:textId="4F75461D" w:rsidR="00A41658" w:rsidRDefault="00A41658" w:rsidP="00A41658">
      <w:pPr>
        <w:pStyle w:val="Web"/>
        <w:spacing w:after="0" w:afterAutospacing="0"/>
        <w:rPr>
          <w:rFonts w:ascii="BIZ UDPゴシック" w:eastAsia="BIZ UDPゴシック" w:hAnsi="BIZ UDPゴシック"/>
        </w:rPr>
      </w:pPr>
      <w:r>
        <w:rPr>
          <w:rFonts w:ascii="BIZ UDPゴシック" w:eastAsia="BIZ UDPゴシック" w:hAnsi="BIZ UDPゴシック" w:hint="eastAsia"/>
        </w:rPr>
        <w:t>議題5　一般的意見</w:t>
      </w:r>
    </w:p>
    <w:p w14:paraId="71D9BF9E" w14:textId="77777777" w:rsidR="00A41658" w:rsidRDefault="00A41658">
      <w:pPr>
        <w:rPr>
          <w:rFonts w:ascii="BIZ UDPゴシック" w:eastAsia="BIZ UDPゴシック" w:hAnsi="BIZ UDPゴシック"/>
          <w:sz w:val="24"/>
          <w:szCs w:val="24"/>
          <w:lang w:eastAsia="ja-JP"/>
        </w:rPr>
      </w:pPr>
    </w:p>
    <w:p w14:paraId="0EABFD62" w14:textId="77777777" w:rsidR="00A41658" w:rsidRDefault="00A41658">
      <w:pPr>
        <w:rPr>
          <w:rFonts w:ascii="BIZ UDPゴシック" w:eastAsia="BIZ UDPゴシック" w:hAnsi="BIZ UDPゴシック"/>
          <w:sz w:val="24"/>
          <w:szCs w:val="24"/>
          <w:lang w:eastAsia="ja-JP"/>
        </w:rPr>
      </w:pPr>
    </w:p>
    <w:p w14:paraId="170C98F7" w14:textId="499906F0" w:rsidR="000B2AFD" w:rsidRPr="00FA3B53" w:rsidRDefault="00FA3B53">
      <w:pPr>
        <w:rPr>
          <w:rFonts w:ascii="BIZ UDPゴシック" w:eastAsia="BIZ UDPゴシック" w:hAnsi="BIZ UDPゴシック"/>
          <w:sz w:val="24"/>
          <w:szCs w:val="24"/>
          <w:lang w:eastAsia="ja-JP"/>
        </w:rPr>
      </w:pPr>
      <w:r w:rsidRPr="00FA3B53">
        <w:rPr>
          <w:rFonts w:ascii="BIZ UDPゴシック" w:eastAsia="BIZ UDPゴシック" w:hAnsi="BIZ UDPゴシック" w:hint="eastAsia"/>
          <w:sz w:val="24"/>
          <w:szCs w:val="24"/>
          <w:lang w:eastAsia="ja-JP"/>
        </w:rPr>
        <w:t>欧州国内人権機関ネットワーク（</w:t>
      </w:r>
      <w:r w:rsidRPr="00FA3B53">
        <w:rPr>
          <w:rFonts w:ascii="BIZ UDPゴシック" w:eastAsia="BIZ UDPゴシック" w:hAnsi="BIZ UDPゴシック"/>
          <w:sz w:val="24"/>
          <w:szCs w:val="24"/>
        </w:rPr>
        <w:t>ENNHRI</w:t>
      </w:r>
      <w:r w:rsidRPr="00FA3B53">
        <w:rPr>
          <w:rFonts w:ascii="BIZ UDPゴシック" w:eastAsia="BIZ UDPゴシック" w:hAnsi="BIZ UDPゴシック" w:hint="eastAsia"/>
          <w:sz w:val="24"/>
          <w:szCs w:val="24"/>
          <w:lang w:eastAsia="ja-JP"/>
        </w:rPr>
        <w:t>）</w:t>
      </w:r>
    </w:p>
    <w:p w14:paraId="25DFAFEE" w14:textId="77777777" w:rsidR="00FA3B53" w:rsidRDefault="00FA3B53">
      <w:pPr>
        <w:rPr>
          <w:lang w:eastAsia="ja-JP"/>
        </w:rPr>
      </w:pPr>
    </w:p>
    <w:p w14:paraId="35ACB5E0" w14:textId="139B9BF3" w:rsidR="00FA3B53" w:rsidRPr="00FA3B53" w:rsidRDefault="00FA3B53" w:rsidP="00FA3B53">
      <w:pPr>
        <w:pStyle w:val="Web"/>
        <w:ind w:firstLineChars="100" w:firstLine="210"/>
        <w:rPr>
          <w:rFonts w:ascii="ＭＳ 明朝" w:eastAsia="ＭＳ 明朝" w:hAnsi="ＭＳ 明朝"/>
          <w:sz w:val="21"/>
          <w:szCs w:val="21"/>
        </w:rPr>
      </w:pPr>
      <w:r w:rsidRPr="00FA3B53">
        <w:rPr>
          <w:rFonts w:ascii="ＭＳ 明朝" w:eastAsia="ＭＳ 明朝" w:hAnsi="ＭＳ 明朝"/>
          <w:sz w:val="21"/>
          <w:szCs w:val="21"/>
        </w:rPr>
        <w:t>議長、皆様、各国代表、</w:t>
      </w:r>
      <w:r>
        <w:rPr>
          <w:rFonts w:ascii="ＭＳ 明朝" w:eastAsia="ＭＳ 明朝" w:hAnsi="ＭＳ 明朝" w:hint="eastAsia"/>
          <w:sz w:val="21"/>
          <w:szCs w:val="21"/>
        </w:rPr>
        <w:t>同僚の皆様、</w:t>
      </w:r>
    </w:p>
    <w:p w14:paraId="3DCA2F70" w14:textId="42C869FF" w:rsidR="00FA3B53" w:rsidRPr="00FA3B53" w:rsidRDefault="00FA3B53" w:rsidP="00FA3B53">
      <w:pPr>
        <w:pStyle w:val="Web"/>
        <w:ind w:firstLineChars="100" w:firstLine="210"/>
        <w:rPr>
          <w:rFonts w:ascii="ＭＳ 明朝" w:eastAsia="ＭＳ 明朝" w:hAnsi="ＭＳ 明朝"/>
          <w:sz w:val="21"/>
          <w:szCs w:val="21"/>
        </w:rPr>
      </w:pPr>
      <w:r w:rsidRPr="00FA3B53">
        <w:rPr>
          <w:rFonts w:ascii="ＭＳ 明朝" w:eastAsia="ＭＳ 明朝" w:hAnsi="ＭＳ 明朝"/>
          <w:sz w:val="21"/>
          <w:szCs w:val="21"/>
        </w:rPr>
        <w:t>欧州国</w:t>
      </w:r>
      <w:r>
        <w:rPr>
          <w:rFonts w:ascii="ＭＳ 明朝" w:eastAsia="ＭＳ 明朝" w:hAnsi="ＭＳ 明朝" w:hint="eastAsia"/>
          <w:sz w:val="21"/>
          <w:szCs w:val="21"/>
        </w:rPr>
        <w:t>内</w:t>
      </w:r>
      <w:r w:rsidRPr="00FA3B53">
        <w:rPr>
          <w:rFonts w:ascii="ＭＳ 明朝" w:eastAsia="ＭＳ 明朝" w:hAnsi="ＭＳ 明朝"/>
          <w:sz w:val="21"/>
          <w:szCs w:val="21"/>
        </w:rPr>
        <w:t>人権機関ネットワーク（ENNHRI）の高齢者の人権に関する作業部会の共同議長として、ENNHRIの立場を述べます。この立場は、当ネットワークが提出した詳細な書面資料にも記載されています。ENNHRIは、国</w:t>
      </w:r>
      <w:r w:rsidR="00BD669D">
        <w:rPr>
          <w:rFonts w:ascii="ＭＳ 明朝" w:eastAsia="ＭＳ 明朝" w:hAnsi="ＭＳ 明朝" w:hint="eastAsia"/>
          <w:sz w:val="21"/>
          <w:szCs w:val="21"/>
        </w:rPr>
        <w:t>内</w:t>
      </w:r>
      <w:r w:rsidRPr="00FA3B53">
        <w:rPr>
          <w:rFonts w:ascii="ＭＳ 明朝" w:eastAsia="ＭＳ 明朝" w:hAnsi="ＭＳ 明朝"/>
          <w:sz w:val="21"/>
          <w:szCs w:val="21"/>
        </w:rPr>
        <w:t>人権機関</w:t>
      </w:r>
      <w:r w:rsidR="00BC72F7">
        <w:rPr>
          <w:rFonts w:ascii="ＭＳ 明朝" w:eastAsia="ＭＳ 明朝" w:hAnsi="ＭＳ 明朝" w:hint="eastAsia"/>
          <w:sz w:val="21"/>
          <w:szCs w:val="21"/>
        </w:rPr>
        <w:t>世界</w:t>
      </w:r>
      <w:r w:rsidR="00BD669D">
        <w:rPr>
          <w:rFonts w:ascii="ＭＳ 明朝" w:eastAsia="ＭＳ 明朝" w:hAnsi="ＭＳ 明朝" w:hint="eastAsia"/>
          <w:sz w:val="21"/>
          <w:szCs w:val="21"/>
        </w:rPr>
        <w:t>連合</w:t>
      </w:r>
      <w:r w:rsidRPr="00FA3B53">
        <w:rPr>
          <w:rFonts w:ascii="ＭＳ 明朝" w:eastAsia="ＭＳ 明朝" w:hAnsi="ＭＳ 明朝"/>
          <w:sz w:val="21"/>
          <w:szCs w:val="21"/>
        </w:rPr>
        <w:t>（Global Alliance of NHRIs）</w:t>
      </w:r>
      <w:r w:rsidR="00BD669D">
        <w:rPr>
          <w:rFonts w:ascii="ＭＳ 明朝" w:eastAsia="ＭＳ 明朝" w:hAnsi="ＭＳ 明朝" w:hint="eastAsia"/>
          <w:sz w:val="21"/>
          <w:szCs w:val="21"/>
        </w:rPr>
        <w:t>の</w:t>
      </w:r>
      <w:r w:rsidRPr="00FA3B53">
        <w:rPr>
          <w:rFonts w:ascii="ＭＳ 明朝" w:eastAsia="ＭＳ 明朝" w:hAnsi="ＭＳ 明朝"/>
          <w:sz w:val="21"/>
          <w:szCs w:val="21"/>
        </w:rPr>
        <w:t>声明に賛同します。</w:t>
      </w:r>
    </w:p>
    <w:p w14:paraId="10D18966" w14:textId="70ECA6BD" w:rsidR="00FA3B53" w:rsidRPr="00FA3B53" w:rsidRDefault="00FA3B53" w:rsidP="00FA3B53">
      <w:pPr>
        <w:pStyle w:val="Web"/>
        <w:ind w:firstLineChars="100" w:firstLine="210"/>
        <w:rPr>
          <w:rFonts w:ascii="ＭＳ 明朝" w:eastAsia="ＭＳ 明朝" w:hAnsi="ＭＳ 明朝"/>
          <w:sz w:val="21"/>
          <w:szCs w:val="21"/>
        </w:rPr>
      </w:pPr>
      <w:r w:rsidRPr="00FA3B53">
        <w:rPr>
          <w:rFonts w:ascii="ＭＳ 明朝" w:eastAsia="ＭＳ 明朝" w:hAnsi="ＭＳ 明朝"/>
          <w:sz w:val="21"/>
          <w:szCs w:val="21"/>
        </w:rPr>
        <w:t>第一に、参加は、政府間作業部会のプロセス</w:t>
      </w:r>
      <w:r w:rsidR="00BD669D">
        <w:rPr>
          <w:rFonts w:ascii="ＭＳ 明朝" w:eastAsia="ＭＳ 明朝" w:hAnsi="ＭＳ 明朝" w:hint="eastAsia"/>
          <w:sz w:val="21"/>
          <w:szCs w:val="21"/>
        </w:rPr>
        <w:t>の</w:t>
      </w:r>
      <w:r w:rsidRPr="00FA3B53">
        <w:rPr>
          <w:rFonts w:ascii="ＭＳ 明朝" w:eastAsia="ＭＳ 明朝" w:hAnsi="ＭＳ 明朝"/>
          <w:sz w:val="21"/>
          <w:szCs w:val="21"/>
        </w:rPr>
        <w:t>中核的な原則として理解されなければなりません。高齢者およびその代表組織は、対面およびハイブリッド形式を問わず、作業部会のプロセスに完全かつ平等に、有意義かつ効果的に参加できなければなりません。</w:t>
      </w:r>
      <w:r w:rsidR="00BD669D">
        <w:rPr>
          <w:rFonts w:ascii="ＭＳ 明朝" w:eastAsia="ＭＳ 明朝" w:hAnsi="ＭＳ 明朝" w:hint="eastAsia"/>
          <w:sz w:val="21"/>
          <w:szCs w:val="21"/>
        </w:rPr>
        <w:t>そのため</w:t>
      </w:r>
      <w:r w:rsidRPr="00FA3B53">
        <w:rPr>
          <w:rFonts w:ascii="ＭＳ 明朝" w:eastAsia="ＭＳ 明朝" w:hAnsi="ＭＳ 明朝"/>
          <w:sz w:val="21"/>
          <w:szCs w:val="21"/>
        </w:rPr>
        <w:t>、議論を</w:t>
      </w:r>
      <w:r w:rsidR="00BD669D">
        <w:rPr>
          <w:rFonts w:ascii="ＭＳ 明朝" w:eastAsia="ＭＳ 明朝" w:hAnsi="ＭＳ 明朝" w:hint="eastAsia"/>
          <w:sz w:val="21"/>
          <w:szCs w:val="21"/>
        </w:rPr>
        <w:t>形成する</w:t>
      </w:r>
      <w:r w:rsidRPr="00FA3B53">
        <w:rPr>
          <w:rFonts w:ascii="ＭＳ 明朝" w:eastAsia="ＭＳ 明朝" w:hAnsi="ＭＳ 明朝"/>
          <w:sz w:val="21"/>
          <w:szCs w:val="21"/>
        </w:rPr>
        <w:t>機会、書面による意見提出の機会、</w:t>
      </w:r>
      <w:r w:rsidR="00BD669D">
        <w:rPr>
          <w:rFonts w:ascii="ＭＳ 明朝" w:eastAsia="ＭＳ 明朝" w:hAnsi="ＭＳ 明朝" w:hint="eastAsia"/>
          <w:sz w:val="21"/>
          <w:szCs w:val="21"/>
        </w:rPr>
        <w:t>会議</w:t>
      </w:r>
      <w:r w:rsidRPr="00FA3B53">
        <w:rPr>
          <w:rFonts w:ascii="ＭＳ 明朝" w:eastAsia="ＭＳ 明朝" w:hAnsi="ＭＳ 明朝"/>
          <w:sz w:val="21"/>
          <w:szCs w:val="21"/>
        </w:rPr>
        <w:t>中の発言の機会、そしてパネルディスカッションへの参加機会が実質的に保障されることが必要です。</w:t>
      </w:r>
    </w:p>
    <w:p w14:paraId="378E84E7" w14:textId="4AC24594" w:rsidR="00FA3B53" w:rsidRPr="00FA3B53" w:rsidRDefault="00FA3B53" w:rsidP="00FA3B53">
      <w:pPr>
        <w:pStyle w:val="Web"/>
        <w:ind w:firstLineChars="100" w:firstLine="210"/>
        <w:rPr>
          <w:rFonts w:ascii="ＭＳ 明朝" w:eastAsia="ＭＳ 明朝" w:hAnsi="ＭＳ 明朝"/>
          <w:sz w:val="21"/>
          <w:szCs w:val="21"/>
        </w:rPr>
      </w:pPr>
      <w:r w:rsidRPr="00FA3B53">
        <w:rPr>
          <w:rFonts w:ascii="ＭＳ 明朝" w:eastAsia="ＭＳ 明朝" w:hAnsi="ＭＳ 明朝"/>
          <w:sz w:val="21"/>
          <w:szCs w:val="21"/>
        </w:rPr>
        <w:t>第二に、参加には情報へのアクセスが不可欠で</w:t>
      </w:r>
      <w:r w:rsidR="00BD669D">
        <w:rPr>
          <w:rFonts w:ascii="ＭＳ 明朝" w:eastAsia="ＭＳ 明朝" w:hAnsi="ＭＳ 明朝" w:hint="eastAsia"/>
          <w:sz w:val="21"/>
          <w:szCs w:val="21"/>
        </w:rPr>
        <w:t>す</w:t>
      </w:r>
      <w:r w:rsidRPr="00FA3B53">
        <w:rPr>
          <w:rFonts w:ascii="ＭＳ 明朝" w:eastAsia="ＭＳ 明朝" w:hAnsi="ＭＳ 明朝"/>
          <w:sz w:val="21"/>
          <w:szCs w:val="21"/>
        </w:rPr>
        <w:t>。作業部会が作成または配布する文書は、利用しやすいオンラインプラットフォーム上で、アクセシブルかつ年齢に配慮した形式で提供されなければな</w:t>
      </w:r>
      <w:r w:rsidR="00BD669D">
        <w:rPr>
          <w:rFonts w:ascii="ＭＳ 明朝" w:eastAsia="ＭＳ 明朝" w:hAnsi="ＭＳ 明朝" w:hint="eastAsia"/>
          <w:sz w:val="21"/>
          <w:szCs w:val="21"/>
        </w:rPr>
        <w:t>りません</w:t>
      </w:r>
      <w:r w:rsidRPr="00FA3B53">
        <w:rPr>
          <w:rFonts w:ascii="ＭＳ 明朝" w:eastAsia="ＭＳ 明朝" w:hAnsi="ＭＳ 明朝"/>
          <w:sz w:val="21"/>
          <w:szCs w:val="21"/>
        </w:rPr>
        <w:t>。アクセシブルな情報</w:t>
      </w:r>
      <w:r w:rsidR="00BD669D">
        <w:rPr>
          <w:rFonts w:ascii="ＭＳ 明朝" w:eastAsia="ＭＳ 明朝" w:hAnsi="ＭＳ 明朝" w:hint="eastAsia"/>
          <w:sz w:val="21"/>
          <w:szCs w:val="21"/>
        </w:rPr>
        <w:t>の</w:t>
      </w:r>
      <w:r w:rsidRPr="00FA3B53">
        <w:rPr>
          <w:rFonts w:ascii="ＭＳ 明朝" w:eastAsia="ＭＳ 明朝" w:hAnsi="ＭＳ 明朝"/>
          <w:sz w:val="21"/>
          <w:szCs w:val="21"/>
        </w:rPr>
        <w:t>確保は、平等、透明性、そして独立した行動を可能に</w:t>
      </w:r>
      <w:r w:rsidR="00BD669D">
        <w:rPr>
          <w:rFonts w:ascii="ＭＳ 明朝" w:eastAsia="ＭＳ 明朝" w:hAnsi="ＭＳ 明朝" w:hint="eastAsia"/>
          <w:sz w:val="21"/>
          <w:szCs w:val="21"/>
        </w:rPr>
        <w:t>しま</w:t>
      </w:r>
      <w:r>
        <w:rPr>
          <w:rFonts w:ascii="ＭＳ 明朝" w:eastAsia="ＭＳ 明朝" w:hAnsi="ＭＳ 明朝" w:hint="eastAsia"/>
          <w:sz w:val="21"/>
          <w:szCs w:val="21"/>
        </w:rPr>
        <w:t>す</w:t>
      </w:r>
      <w:r w:rsidRPr="00FA3B53">
        <w:rPr>
          <w:rFonts w:ascii="ＭＳ 明朝" w:eastAsia="ＭＳ 明朝" w:hAnsi="ＭＳ 明朝"/>
          <w:sz w:val="21"/>
          <w:szCs w:val="21"/>
        </w:rPr>
        <w:t>。</w:t>
      </w:r>
    </w:p>
    <w:p w14:paraId="554CD29C" w14:textId="632DD641" w:rsidR="00FA3B53" w:rsidRPr="00FA3B53" w:rsidRDefault="00FA3B53" w:rsidP="00FA3B53">
      <w:pPr>
        <w:pStyle w:val="Web"/>
        <w:ind w:firstLineChars="100" w:firstLine="210"/>
        <w:rPr>
          <w:rFonts w:ascii="ＭＳ 明朝" w:eastAsia="ＭＳ 明朝" w:hAnsi="ＭＳ 明朝"/>
          <w:sz w:val="21"/>
          <w:szCs w:val="21"/>
        </w:rPr>
      </w:pPr>
      <w:r w:rsidRPr="00FA3B53">
        <w:rPr>
          <w:rFonts w:ascii="ＭＳ 明朝" w:eastAsia="ＭＳ 明朝" w:hAnsi="ＭＳ 明朝"/>
          <w:sz w:val="21"/>
          <w:szCs w:val="21"/>
        </w:rPr>
        <w:t>最後に、作業部会のプロセスは、交差性（インターセクショナリティ）の視点に基づいて進められなければなりません。年齢</w:t>
      </w:r>
      <w:r w:rsidR="00BD669D">
        <w:rPr>
          <w:rFonts w:ascii="ＭＳ 明朝" w:eastAsia="ＭＳ 明朝" w:hAnsi="ＭＳ 明朝" w:hint="eastAsia"/>
          <w:sz w:val="21"/>
          <w:szCs w:val="21"/>
        </w:rPr>
        <w:t>による</w:t>
      </w:r>
      <w:r w:rsidRPr="00FA3B53">
        <w:rPr>
          <w:rFonts w:ascii="ＭＳ 明朝" w:eastAsia="ＭＳ 明朝" w:hAnsi="ＭＳ 明朝"/>
          <w:sz w:val="21"/>
          <w:szCs w:val="21"/>
        </w:rPr>
        <w:t>差別はしばしば他の形態の差別と交差しており、例えば、高齢の女性、障害</w:t>
      </w:r>
      <w:r w:rsidR="00BD669D">
        <w:rPr>
          <w:rFonts w:ascii="ＭＳ 明朝" w:eastAsia="ＭＳ 明朝" w:hAnsi="ＭＳ 明朝" w:hint="eastAsia"/>
          <w:sz w:val="21"/>
          <w:szCs w:val="21"/>
        </w:rPr>
        <w:t>のある</w:t>
      </w:r>
      <w:r w:rsidRPr="00FA3B53">
        <w:rPr>
          <w:rFonts w:ascii="ＭＳ 明朝" w:eastAsia="ＭＳ 明朝" w:hAnsi="ＭＳ 明朝"/>
          <w:sz w:val="21"/>
          <w:szCs w:val="21"/>
        </w:rPr>
        <w:t>高齢者、高齢の移民や難民、高齢の先住民、少数民族の高齢者、LGBTQ+の高齢者、および国内避難民の高齢者などに、不均衡な影響を及ぼしています。あらゆる将来の法的文書の起草プロセス</w:t>
      </w:r>
      <w:r w:rsidR="0079403C">
        <w:rPr>
          <w:rFonts w:ascii="ＭＳ 明朝" w:eastAsia="ＭＳ 明朝" w:hAnsi="ＭＳ 明朝" w:hint="eastAsia"/>
          <w:sz w:val="21"/>
          <w:szCs w:val="21"/>
        </w:rPr>
        <w:t>で</w:t>
      </w:r>
      <w:r w:rsidRPr="00FA3B53">
        <w:rPr>
          <w:rFonts w:ascii="ＭＳ 明朝" w:eastAsia="ＭＳ 明朝" w:hAnsi="ＭＳ 明朝"/>
          <w:sz w:val="21"/>
          <w:szCs w:val="21"/>
        </w:rPr>
        <w:t>は、あらゆる多様性を持つすべての高齢者の実体験が考慮されなければなりません。</w:t>
      </w:r>
    </w:p>
    <w:p w14:paraId="7F389464" w14:textId="3D06C240" w:rsidR="00FA3B53" w:rsidRPr="00FA3B53" w:rsidRDefault="00FA3B53" w:rsidP="00FA3B53">
      <w:pPr>
        <w:pStyle w:val="Web"/>
        <w:ind w:firstLineChars="100" w:firstLine="210"/>
        <w:rPr>
          <w:rFonts w:ascii="ＭＳ 明朝" w:eastAsia="ＭＳ 明朝" w:hAnsi="ＭＳ 明朝"/>
          <w:sz w:val="21"/>
          <w:szCs w:val="21"/>
        </w:rPr>
      </w:pPr>
      <w:r w:rsidRPr="00FA3B53">
        <w:rPr>
          <w:rFonts w:ascii="ＭＳ 明朝" w:eastAsia="ＭＳ 明朝" w:hAnsi="ＭＳ 明朝"/>
          <w:sz w:val="21"/>
          <w:szCs w:val="21"/>
        </w:rPr>
        <w:t>参加、アクセシビリティ、情報へのアクセス、そして交差性――これら要素は、本作業部会のプロセスと成果の両方を形作るべき中核的な人権原則で</w:t>
      </w:r>
      <w:r w:rsidR="0079403C">
        <w:rPr>
          <w:rFonts w:ascii="ＭＳ 明朝" w:eastAsia="ＭＳ 明朝" w:hAnsi="ＭＳ 明朝" w:hint="eastAsia"/>
          <w:sz w:val="21"/>
          <w:szCs w:val="21"/>
        </w:rPr>
        <w:t>す</w:t>
      </w:r>
      <w:r w:rsidRPr="00FA3B53">
        <w:rPr>
          <w:rFonts w:ascii="ＭＳ 明朝" w:eastAsia="ＭＳ 明朝" w:hAnsi="ＭＳ 明朝"/>
          <w:sz w:val="21"/>
          <w:szCs w:val="21"/>
        </w:rPr>
        <w:t>。</w:t>
      </w:r>
    </w:p>
    <w:p w14:paraId="38A1CBD8" w14:textId="77777777" w:rsidR="00FA3B53" w:rsidRPr="00FA3B53" w:rsidRDefault="00FA3B53" w:rsidP="00FA3B53">
      <w:pPr>
        <w:pStyle w:val="Web"/>
        <w:ind w:firstLineChars="100" w:firstLine="210"/>
        <w:rPr>
          <w:rFonts w:ascii="ＭＳ 明朝" w:eastAsia="ＭＳ 明朝" w:hAnsi="ＭＳ 明朝"/>
          <w:sz w:val="21"/>
          <w:szCs w:val="21"/>
        </w:rPr>
      </w:pPr>
      <w:r w:rsidRPr="00FA3B53">
        <w:rPr>
          <w:rFonts w:ascii="ＭＳ 明朝" w:eastAsia="ＭＳ 明朝" w:hAnsi="ＭＳ 明朝"/>
          <w:sz w:val="21"/>
          <w:szCs w:val="21"/>
        </w:rPr>
        <w:t>ご清聴ありがとうございました。</w:t>
      </w:r>
    </w:p>
    <w:p w14:paraId="6730D250" w14:textId="77777777" w:rsidR="00373060" w:rsidRDefault="00373060" w:rsidP="00373060">
      <w:pPr>
        <w:pStyle w:val="Web"/>
        <w:jc w:val="right"/>
        <w:rPr>
          <w:rFonts w:ascii="ＭＳ 明朝" w:eastAsia="ＭＳ 明朝" w:hAnsi="ＭＳ 明朝"/>
        </w:rPr>
      </w:pPr>
      <w:r w:rsidRPr="001C6C39">
        <w:rPr>
          <w:rFonts w:ascii="ＭＳ 明朝" w:eastAsia="ＭＳ 明朝" w:hAnsi="ＭＳ 明朝" w:hint="eastAsia"/>
        </w:rPr>
        <w:t>（翻訳：佐藤久夫、　　　　）</w:t>
      </w:r>
    </w:p>
    <w:p w14:paraId="09587606" w14:textId="77777777" w:rsidR="00FA3B53" w:rsidRDefault="00FA3B53">
      <w:pPr>
        <w:rPr>
          <w:lang w:eastAsia="ja-JP"/>
        </w:rPr>
      </w:pPr>
    </w:p>
    <w:p w14:paraId="394A8D12" w14:textId="77777777" w:rsidR="00FA3B53" w:rsidRDefault="00FA3B53" w:rsidP="00FA3B53">
      <w:pPr>
        <w:pStyle w:val="ae"/>
        <w:spacing w:before="37" w:line="410" w:lineRule="auto"/>
        <w:ind w:right="3110"/>
      </w:pPr>
      <w:r>
        <w:t>ENNHRI</w:t>
      </w:r>
      <w:r>
        <w:rPr>
          <w:spacing w:val="-9"/>
        </w:rPr>
        <w:t xml:space="preserve"> </w:t>
      </w:r>
      <w:r>
        <w:t>Statement</w:t>
      </w:r>
      <w:r>
        <w:rPr>
          <w:spacing w:val="-8"/>
        </w:rPr>
        <w:t xml:space="preserve"> </w:t>
      </w:r>
      <w:r>
        <w:t>during</w:t>
      </w:r>
      <w:r>
        <w:rPr>
          <w:spacing w:val="-6"/>
        </w:rPr>
        <w:t xml:space="preserve"> </w:t>
      </w:r>
      <w:r>
        <w:t>IGWG</w:t>
      </w:r>
      <w:r>
        <w:rPr>
          <w:spacing w:val="-8"/>
        </w:rPr>
        <w:t xml:space="preserve"> </w:t>
      </w:r>
      <w:r>
        <w:t>session</w:t>
      </w:r>
      <w:r>
        <w:rPr>
          <w:spacing w:val="-7"/>
        </w:rPr>
        <w:t xml:space="preserve"> </w:t>
      </w:r>
      <w:r>
        <w:t>on</w:t>
      </w:r>
      <w:r>
        <w:rPr>
          <w:spacing w:val="-7"/>
        </w:rPr>
        <w:t xml:space="preserve"> </w:t>
      </w:r>
      <w:r>
        <w:t>18</w:t>
      </w:r>
      <w:r>
        <w:rPr>
          <w:spacing w:val="-7"/>
        </w:rPr>
        <w:t xml:space="preserve"> </w:t>
      </w:r>
      <w:r>
        <w:t>February Check upon delivery</w:t>
      </w:r>
    </w:p>
    <w:p w14:paraId="7C12CAB2" w14:textId="77777777" w:rsidR="00FA3B53" w:rsidRDefault="00FA3B53" w:rsidP="00FA3B53">
      <w:pPr>
        <w:pStyle w:val="ae"/>
        <w:spacing w:before="205"/>
        <w:ind w:left="0"/>
      </w:pPr>
    </w:p>
    <w:p w14:paraId="77F702BA" w14:textId="77777777" w:rsidR="00FA3B53" w:rsidRDefault="00FA3B53" w:rsidP="00FA3B53">
      <w:pPr>
        <w:pStyle w:val="ae"/>
      </w:pPr>
      <w:r>
        <w:t>Dear</w:t>
      </w:r>
      <w:r>
        <w:rPr>
          <w:spacing w:val="-10"/>
        </w:rPr>
        <w:t xml:space="preserve"> </w:t>
      </w:r>
      <w:r>
        <w:t>Chair,</w:t>
      </w:r>
      <w:r>
        <w:rPr>
          <w:spacing w:val="-10"/>
        </w:rPr>
        <w:t xml:space="preserve"> </w:t>
      </w:r>
      <w:r>
        <w:t>Excellencies,</w:t>
      </w:r>
      <w:r>
        <w:rPr>
          <w:spacing w:val="-11"/>
        </w:rPr>
        <w:t xml:space="preserve"> </w:t>
      </w:r>
      <w:r>
        <w:t>distinguished</w:t>
      </w:r>
      <w:r>
        <w:rPr>
          <w:spacing w:val="-11"/>
        </w:rPr>
        <w:t xml:space="preserve"> </w:t>
      </w:r>
      <w:r>
        <w:t>Delegates,</w:t>
      </w:r>
      <w:r>
        <w:rPr>
          <w:spacing w:val="-10"/>
        </w:rPr>
        <w:t xml:space="preserve"> </w:t>
      </w:r>
      <w:r>
        <w:t>and</w:t>
      </w:r>
      <w:r>
        <w:rPr>
          <w:spacing w:val="-9"/>
        </w:rPr>
        <w:t xml:space="preserve"> </w:t>
      </w:r>
      <w:r>
        <w:rPr>
          <w:spacing w:val="-2"/>
        </w:rPr>
        <w:t>Colleagues,</w:t>
      </w:r>
    </w:p>
    <w:p w14:paraId="5A308158" w14:textId="77777777" w:rsidR="00FA3B53" w:rsidRDefault="00FA3B53" w:rsidP="00FA3B53">
      <w:pPr>
        <w:pStyle w:val="ae"/>
        <w:spacing w:before="206" w:line="278" w:lineRule="auto"/>
        <w:ind w:right="94"/>
      </w:pPr>
      <w:r>
        <w:lastRenderedPageBreak/>
        <w:t>in</w:t>
      </w:r>
      <w:r>
        <w:rPr>
          <w:spacing w:val="-4"/>
        </w:rPr>
        <w:t xml:space="preserve"> </w:t>
      </w:r>
      <w:r>
        <w:t>my</w:t>
      </w:r>
      <w:r>
        <w:rPr>
          <w:spacing w:val="-5"/>
        </w:rPr>
        <w:t xml:space="preserve"> </w:t>
      </w:r>
      <w:r>
        <w:t>capacity</w:t>
      </w:r>
      <w:r>
        <w:rPr>
          <w:spacing w:val="-5"/>
        </w:rPr>
        <w:t xml:space="preserve"> </w:t>
      </w:r>
      <w:r>
        <w:t>as</w:t>
      </w:r>
      <w:r>
        <w:rPr>
          <w:spacing w:val="-5"/>
        </w:rPr>
        <w:t xml:space="preserve"> </w:t>
      </w:r>
      <w:r>
        <w:t>Co-Chair</w:t>
      </w:r>
      <w:r>
        <w:rPr>
          <w:spacing w:val="-4"/>
        </w:rPr>
        <w:t xml:space="preserve"> </w:t>
      </w:r>
      <w:r>
        <w:t>of</w:t>
      </w:r>
      <w:r>
        <w:rPr>
          <w:spacing w:val="-4"/>
        </w:rPr>
        <w:t xml:space="preserve"> </w:t>
      </w:r>
      <w:r>
        <w:t>the</w:t>
      </w:r>
      <w:r>
        <w:rPr>
          <w:spacing w:val="-4"/>
        </w:rPr>
        <w:t xml:space="preserve"> </w:t>
      </w:r>
      <w:r>
        <w:t>Working</w:t>
      </w:r>
      <w:r>
        <w:rPr>
          <w:spacing w:val="-5"/>
        </w:rPr>
        <w:t xml:space="preserve"> </w:t>
      </w:r>
      <w:r>
        <w:t>Group</w:t>
      </w:r>
      <w:r>
        <w:rPr>
          <w:spacing w:val="-6"/>
        </w:rPr>
        <w:t xml:space="preserve"> </w:t>
      </w:r>
      <w:r>
        <w:t>on</w:t>
      </w:r>
      <w:r>
        <w:rPr>
          <w:spacing w:val="-4"/>
        </w:rPr>
        <w:t xml:space="preserve"> </w:t>
      </w:r>
      <w:r>
        <w:t>the</w:t>
      </w:r>
      <w:r>
        <w:rPr>
          <w:spacing w:val="-4"/>
        </w:rPr>
        <w:t xml:space="preserve"> </w:t>
      </w:r>
      <w:r>
        <w:t>Human</w:t>
      </w:r>
      <w:r>
        <w:rPr>
          <w:spacing w:val="-6"/>
        </w:rPr>
        <w:t xml:space="preserve"> </w:t>
      </w:r>
      <w:r>
        <w:t>Rights</w:t>
      </w:r>
      <w:r>
        <w:rPr>
          <w:spacing w:val="-5"/>
        </w:rPr>
        <w:t xml:space="preserve"> </w:t>
      </w:r>
      <w:r>
        <w:t>of</w:t>
      </w:r>
      <w:r>
        <w:rPr>
          <w:spacing w:val="-6"/>
        </w:rPr>
        <w:t xml:space="preserve"> </w:t>
      </w:r>
      <w:r>
        <w:t>Older</w:t>
      </w:r>
      <w:r>
        <w:rPr>
          <w:spacing w:val="-6"/>
        </w:rPr>
        <w:t xml:space="preserve"> </w:t>
      </w:r>
      <w:r>
        <w:t>Persons</w:t>
      </w:r>
      <w:r>
        <w:rPr>
          <w:spacing w:val="-7"/>
        </w:rPr>
        <w:t xml:space="preserve"> </w:t>
      </w:r>
      <w:r>
        <w:t xml:space="preserve">of ENNHRI, the European Network of National Human Rights Institutions, I would like to introduce ENNHRI’s position, which is also provided in the network’s detailed written submission. ENNHRI aligns itself with the delivered statement of the Global Alliance of </w:t>
      </w:r>
      <w:r>
        <w:rPr>
          <w:spacing w:val="-2"/>
        </w:rPr>
        <w:t>NHRIs.</w:t>
      </w:r>
    </w:p>
    <w:p w14:paraId="11DEFCD7" w14:textId="77777777" w:rsidR="00FA3B53" w:rsidRDefault="00FA3B53" w:rsidP="00FA3B53">
      <w:pPr>
        <w:pStyle w:val="ae"/>
        <w:spacing w:before="156"/>
      </w:pPr>
      <w:r>
        <w:t>First,</w:t>
      </w:r>
      <w:r>
        <w:rPr>
          <w:spacing w:val="-6"/>
        </w:rPr>
        <w:t xml:space="preserve"> </w:t>
      </w:r>
      <w:r>
        <w:t>participation</w:t>
      </w:r>
      <w:r>
        <w:rPr>
          <w:spacing w:val="-6"/>
        </w:rPr>
        <w:t xml:space="preserve"> </w:t>
      </w:r>
      <w:r>
        <w:t>must</w:t>
      </w:r>
      <w:r>
        <w:rPr>
          <w:spacing w:val="-8"/>
        </w:rPr>
        <w:t xml:space="preserve"> </w:t>
      </w:r>
      <w:r>
        <w:t>be</w:t>
      </w:r>
      <w:r>
        <w:rPr>
          <w:spacing w:val="-7"/>
        </w:rPr>
        <w:t xml:space="preserve"> </w:t>
      </w:r>
      <w:r>
        <w:t>understood</w:t>
      </w:r>
      <w:r>
        <w:rPr>
          <w:spacing w:val="-4"/>
        </w:rPr>
        <w:t xml:space="preserve"> </w:t>
      </w:r>
      <w:r>
        <w:t>as</w:t>
      </w:r>
      <w:r>
        <w:rPr>
          <w:spacing w:val="-7"/>
        </w:rPr>
        <w:t xml:space="preserve"> </w:t>
      </w:r>
      <w:r>
        <w:t>a</w:t>
      </w:r>
      <w:r>
        <w:rPr>
          <w:spacing w:val="-6"/>
        </w:rPr>
        <w:t xml:space="preserve"> </w:t>
      </w:r>
      <w:r>
        <w:t>core</w:t>
      </w:r>
      <w:r>
        <w:rPr>
          <w:spacing w:val="-6"/>
        </w:rPr>
        <w:t xml:space="preserve"> </w:t>
      </w:r>
      <w:r>
        <w:t>principle</w:t>
      </w:r>
      <w:r>
        <w:rPr>
          <w:spacing w:val="-5"/>
        </w:rPr>
        <w:t xml:space="preserve"> </w:t>
      </w:r>
      <w:r>
        <w:t>of</w:t>
      </w:r>
      <w:r>
        <w:rPr>
          <w:spacing w:val="1"/>
        </w:rPr>
        <w:t xml:space="preserve"> </w:t>
      </w:r>
      <w:r>
        <w:t>the</w:t>
      </w:r>
      <w:r>
        <w:rPr>
          <w:spacing w:val="-7"/>
        </w:rPr>
        <w:t xml:space="preserve"> </w:t>
      </w:r>
      <w:r>
        <w:t>process</w:t>
      </w:r>
      <w:r>
        <w:rPr>
          <w:spacing w:val="-8"/>
        </w:rPr>
        <w:t xml:space="preserve"> </w:t>
      </w:r>
      <w:r>
        <w:t>of</w:t>
      </w:r>
      <w:r>
        <w:rPr>
          <w:spacing w:val="-4"/>
        </w:rPr>
        <w:t xml:space="preserve"> </w:t>
      </w:r>
      <w:r>
        <w:rPr>
          <w:spacing w:val="-5"/>
        </w:rPr>
        <w:t>the</w:t>
      </w:r>
    </w:p>
    <w:p w14:paraId="32967EDA" w14:textId="77777777" w:rsidR="00FA3B53" w:rsidRDefault="00FA3B53" w:rsidP="00FA3B53">
      <w:pPr>
        <w:pStyle w:val="ae"/>
        <w:spacing w:before="49" w:line="278" w:lineRule="auto"/>
      </w:pPr>
      <w:r>
        <w:t>Intergovernmental Working Group. Older persons and their representative organisations must</w:t>
      </w:r>
      <w:r>
        <w:rPr>
          <w:spacing w:val="-11"/>
        </w:rPr>
        <w:t xml:space="preserve"> </w:t>
      </w:r>
      <w:r>
        <w:t>participate</w:t>
      </w:r>
      <w:r>
        <w:rPr>
          <w:spacing w:val="-9"/>
        </w:rPr>
        <w:t xml:space="preserve"> </w:t>
      </w:r>
      <w:r>
        <w:t>fully,</w:t>
      </w:r>
      <w:r>
        <w:rPr>
          <w:spacing w:val="-10"/>
        </w:rPr>
        <w:t xml:space="preserve"> </w:t>
      </w:r>
      <w:r>
        <w:t>equally,</w:t>
      </w:r>
      <w:r>
        <w:rPr>
          <w:spacing w:val="-7"/>
        </w:rPr>
        <w:t xml:space="preserve"> </w:t>
      </w:r>
      <w:r>
        <w:t>meaningfully</w:t>
      </w:r>
      <w:r>
        <w:rPr>
          <w:spacing w:val="-11"/>
        </w:rPr>
        <w:t xml:space="preserve"> </w:t>
      </w:r>
      <w:r>
        <w:t>and</w:t>
      </w:r>
      <w:r>
        <w:rPr>
          <w:spacing w:val="-11"/>
        </w:rPr>
        <w:t xml:space="preserve"> </w:t>
      </w:r>
      <w:r>
        <w:t>effectively</w:t>
      </w:r>
      <w:r>
        <w:rPr>
          <w:spacing w:val="-10"/>
        </w:rPr>
        <w:t xml:space="preserve"> </w:t>
      </w:r>
      <w:r>
        <w:t>in</w:t>
      </w:r>
      <w:r>
        <w:rPr>
          <w:spacing w:val="-9"/>
        </w:rPr>
        <w:t xml:space="preserve"> </w:t>
      </w:r>
      <w:r>
        <w:t>the</w:t>
      </w:r>
      <w:r>
        <w:rPr>
          <w:spacing w:val="-10"/>
        </w:rPr>
        <w:t xml:space="preserve"> </w:t>
      </w:r>
      <w:r>
        <w:t>processes</w:t>
      </w:r>
      <w:r>
        <w:rPr>
          <w:spacing w:val="-10"/>
        </w:rPr>
        <w:t xml:space="preserve"> </w:t>
      </w:r>
      <w:r>
        <w:t>of</w:t>
      </w:r>
      <w:r>
        <w:rPr>
          <w:spacing w:val="-8"/>
        </w:rPr>
        <w:t xml:space="preserve"> </w:t>
      </w:r>
      <w:r>
        <w:t>the</w:t>
      </w:r>
      <w:r>
        <w:rPr>
          <w:spacing w:val="-9"/>
        </w:rPr>
        <w:t xml:space="preserve"> </w:t>
      </w:r>
      <w:r>
        <w:t>Working Group,</w:t>
      </w:r>
      <w:r>
        <w:rPr>
          <w:spacing w:val="-1"/>
        </w:rPr>
        <w:t xml:space="preserve"> </w:t>
      </w:r>
      <w:r>
        <w:t>both in person and hybrid. This</w:t>
      </w:r>
      <w:r>
        <w:rPr>
          <w:spacing w:val="-1"/>
        </w:rPr>
        <w:t xml:space="preserve"> </w:t>
      </w:r>
      <w:r>
        <w:t>requires real opportunities</w:t>
      </w:r>
      <w:r>
        <w:rPr>
          <w:spacing w:val="-1"/>
        </w:rPr>
        <w:t xml:space="preserve"> </w:t>
      </w:r>
      <w:r>
        <w:t>to shape</w:t>
      </w:r>
      <w:r>
        <w:rPr>
          <w:spacing w:val="-1"/>
        </w:rPr>
        <w:t xml:space="preserve"> </w:t>
      </w:r>
      <w:r>
        <w:t>discussions,</w:t>
      </w:r>
      <w:r>
        <w:rPr>
          <w:spacing w:val="-1"/>
        </w:rPr>
        <w:t xml:space="preserve"> </w:t>
      </w:r>
      <w:r>
        <w:t>to submit written contributions, to intervene during sessions, and to engage in panel</w:t>
      </w:r>
    </w:p>
    <w:p w14:paraId="528D3441" w14:textId="77777777" w:rsidR="00FA3B53" w:rsidRDefault="00FA3B53" w:rsidP="00FA3B53">
      <w:pPr>
        <w:pStyle w:val="ae"/>
        <w:spacing w:line="290" w:lineRule="exact"/>
      </w:pPr>
      <w:r>
        <w:rPr>
          <w:spacing w:val="-2"/>
        </w:rPr>
        <w:t>discussions.</w:t>
      </w:r>
    </w:p>
    <w:p w14:paraId="0E1A9143" w14:textId="77777777" w:rsidR="00FA3B53" w:rsidRDefault="00FA3B53" w:rsidP="00FA3B53">
      <w:pPr>
        <w:pStyle w:val="ae"/>
        <w:spacing w:before="206" w:line="278" w:lineRule="auto"/>
        <w:ind w:right="94"/>
      </w:pPr>
      <w:r>
        <w:t>Secondly,</w:t>
      </w:r>
      <w:r>
        <w:rPr>
          <w:spacing w:val="-12"/>
        </w:rPr>
        <w:t xml:space="preserve"> </w:t>
      </w:r>
      <w:r>
        <w:t>participation</w:t>
      </w:r>
      <w:r>
        <w:rPr>
          <w:spacing w:val="-8"/>
        </w:rPr>
        <w:t xml:space="preserve"> </w:t>
      </w:r>
      <w:r>
        <w:t>requires</w:t>
      </w:r>
      <w:r>
        <w:rPr>
          <w:spacing w:val="-9"/>
        </w:rPr>
        <w:t xml:space="preserve"> </w:t>
      </w:r>
      <w:r>
        <w:t>access</w:t>
      </w:r>
      <w:r>
        <w:rPr>
          <w:spacing w:val="-12"/>
        </w:rPr>
        <w:t xml:space="preserve"> </w:t>
      </w:r>
      <w:r>
        <w:t>to</w:t>
      </w:r>
      <w:r>
        <w:rPr>
          <w:spacing w:val="-10"/>
        </w:rPr>
        <w:t xml:space="preserve"> </w:t>
      </w:r>
      <w:r>
        <w:t>information.</w:t>
      </w:r>
      <w:r>
        <w:rPr>
          <w:spacing w:val="-11"/>
        </w:rPr>
        <w:t xml:space="preserve"> </w:t>
      </w:r>
      <w:r>
        <w:t>Documents</w:t>
      </w:r>
      <w:r>
        <w:rPr>
          <w:spacing w:val="-10"/>
        </w:rPr>
        <w:t xml:space="preserve"> </w:t>
      </w:r>
      <w:r>
        <w:t>produced</w:t>
      </w:r>
      <w:r>
        <w:rPr>
          <w:spacing w:val="-9"/>
        </w:rPr>
        <w:t xml:space="preserve"> </w:t>
      </w:r>
      <w:r>
        <w:t>or</w:t>
      </w:r>
      <w:r>
        <w:rPr>
          <w:spacing w:val="-10"/>
        </w:rPr>
        <w:t xml:space="preserve"> </w:t>
      </w:r>
      <w:r>
        <w:t>distributed by the Working Group must be available in accessible and age-inclusive formats at a user- friendly online platform. Ensuring accessible information is an enabler for equality,</w:t>
      </w:r>
    </w:p>
    <w:p w14:paraId="2C435D2E" w14:textId="77777777" w:rsidR="00FA3B53" w:rsidRDefault="00FA3B53" w:rsidP="00FA3B53">
      <w:pPr>
        <w:pStyle w:val="ae"/>
        <w:spacing w:before="1"/>
      </w:pPr>
      <w:r>
        <w:rPr>
          <w:spacing w:val="-2"/>
        </w:rPr>
        <w:t>transparency,</w:t>
      </w:r>
      <w:r>
        <w:rPr>
          <w:spacing w:val="4"/>
        </w:rPr>
        <w:t xml:space="preserve"> </w:t>
      </w:r>
      <w:r>
        <w:rPr>
          <w:spacing w:val="-2"/>
        </w:rPr>
        <w:t>and</w:t>
      </w:r>
      <w:r>
        <w:rPr>
          <w:spacing w:val="5"/>
        </w:rPr>
        <w:t xml:space="preserve"> </w:t>
      </w:r>
      <w:r>
        <w:rPr>
          <w:spacing w:val="-2"/>
        </w:rPr>
        <w:t>independent</w:t>
      </w:r>
      <w:r>
        <w:rPr>
          <w:spacing w:val="2"/>
        </w:rPr>
        <w:t xml:space="preserve"> </w:t>
      </w:r>
      <w:r>
        <w:rPr>
          <w:spacing w:val="-2"/>
        </w:rPr>
        <w:t>action.</w:t>
      </w:r>
    </w:p>
    <w:p w14:paraId="2F5A7D23" w14:textId="77777777" w:rsidR="00FA3B53" w:rsidRDefault="00FA3B53" w:rsidP="00FA3B53">
      <w:pPr>
        <w:pStyle w:val="ae"/>
        <w:spacing w:before="206" w:line="278" w:lineRule="auto"/>
      </w:pPr>
      <w:r>
        <w:t>Finally, the processes of the Working Group must be guided by an intersectional approach. Age discrimination often intersects with other forms of discrimination, disproportionately affecting</w:t>
      </w:r>
      <w:r>
        <w:rPr>
          <w:spacing w:val="-7"/>
        </w:rPr>
        <w:t xml:space="preserve"> </w:t>
      </w:r>
      <w:r>
        <w:t>for</w:t>
      </w:r>
      <w:r>
        <w:rPr>
          <w:spacing w:val="-6"/>
        </w:rPr>
        <w:t xml:space="preserve"> </w:t>
      </w:r>
      <w:r>
        <w:t>example</w:t>
      </w:r>
      <w:r>
        <w:rPr>
          <w:spacing w:val="-7"/>
        </w:rPr>
        <w:t xml:space="preserve"> </w:t>
      </w:r>
      <w:r>
        <w:t>older</w:t>
      </w:r>
      <w:r>
        <w:rPr>
          <w:spacing w:val="-6"/>
        </w:rPr>
        <w:t xml:space="preserve"> </w:t>
      </w:r>
      <w:r>
        <w:t>women,</w:t>
      </w:r>
      <w:r>
        <w:rPr>
          <w:spacing w:val="-9"/>
        </w:rPr>
        <w:t xml:space="preserve"> </w:t>
      </w:r>
      <w:r>
        <w:t>older</w:t>
      </w:r>
      <w:r>
        <w:rPr>
          <w:spacing w:val="-9"/>
        </w:rPr>
        <w:t xml:space="preserve"> </w:t>
      </w:r>
      <w:r>
        <w:t>persons</w:t>
      </w:r>
      <w:r>
        <w:rPr>
          <w:spacing w:val="-9"/>
        </w:rPr>
        <w:t xml:space="preserve"> </w:t>
      </w:r>
      <w:r>
        <w:t>with</w:t>
      </w:r>
      <w:r>
        <w:rPr>
          <w:spacing w:val="-3"/>
        </w:rPr>
        <w:t xml:space="preserve"> </w:t>
      </w:r>
      <w:r>
        <w:t>disabilities,</w:t>
      </w:r>
      <w:r>
        <w:rPr>
          <w:spacing w:val="-6"/>
        </w:rPr>
        <w:t xml:space="preserve"> </w:t>
      </w:r>
      <w:r>
        <w:t>older</w:t>
      </w:r>
      <w:r>
        <w:rPr>
          <w:spacing w:val="-8"/>
        </w:rPr>
        <w:t xml:space="preserve"> </w:t>
      </w:r>
      <w:r>
        <w:t>migrants</w:t>
      </w:r>
      <w:r>
        <w:rPr>
          <w:spacing w:val="-7"/>
        </w:rPr>
        <w:t xml:space="preserve"> </w:t>
      </w:r>
      <w:r>
        <w:t>and</w:t>
      </w:r>
      <w:r>
        <w:rPr>
          <w:spacing w:val="-5"/>
        </w:rPr>
        <w:t xml:space="preserve"> </w:t>
      </w:r>
      <w:r>
        <w:t>older refugees, older Indigenous persons, older members of ethnic minorities, older LGBTQ+</w:t>
      </w:r>
    </w:p>
    <w:p w14:paraId="3D7F6FDF" w14:textId="77777777" w:rsidR="00FA3B53" w:rsidRDefault="00FA3B53" w:rsidP="00FA3B53">
      <w:pPr>
        <w:pStyle w:val="ae"/>
        <w:spacing w:line="278" w:lineRule="auto"/>
      </w:pPr>
      <w:r>
        <w:t>persons,</w:t>
      </w:r>
      <w:r>
        <w:rPr>
          <w:spacing w:val="-7"/>
        </w:rPr>
        <w:t xml:space="preserve"> </w:t>
      </w:r>
      <w:r>
        <w:t>and</w:t>
      </w:r>
      <w:r>
        <w:rPr>
          <w:spacing w:val="-6"/>
        </w:rPr>
        <w:t xml:space="preserve"> </w:t>
      </w:r>
      <w:r>
        <w:t>older</w:t>
      </w:r>
      <w:r>
        <w:rPr>
          <w:spacing w:val="-4"/>
        </w:rPr>
        <w:t xml:space="preserve"> </w:t>
      </w:r>
      <w:r>
        <w:t>internally</w:t>
      </w:r>
      <w:r>
        <w:rPr>
          <w:spacing w:val="-5"/>
        </w:rPr>
        <w:t xml:space="preserve"> </w:t>
      </w:r>
      <w:r>
        <w:t>displaced</w:t>
      </w:r>
      <w:r>
        <w:rPr>
          <w:spacing w:val="-6"/>
        </w:rPr>
        <w:t xml:space="preserve"> </w:t>
      </w:r>
      <w:r>
        <w:t>persons.</w:t>
      </w:r>
      <w:r>
        <w:rPr>
          <w:spacing w:val="-4"/>
        </w:rPr>
        <w:t xml:space="preserve"> </w:t>
      </w:r>
      <w:r>
        <w:t>The</w:t>
      </w:r>
      <w:r>
        <w:rPr>
          <w:spacing w:val="-4"/>
        </w:rPr>
        <w:t xml:space="preserve"> </w:t>
      </w:r>
      <w:r>
        <w:t>lived</w:t>
      </w:r>
      <w:r>
        <w:rPr>
          <w:spacing w:val="-4"/>
        </w:rPr>
        <w:t xml:space="preserve"> </w:t>
      </w:r>
      <w:r>
        <w:t>experiences</w:t>
      </w:r>
      <w:r>
        <w:rPr>
          <w:spacing w:val="-7"/>
        </w:rPr>
        <w:t xml:space="preserve"> </w:t>
      </w:r>
      <w:r>
        <w:t>of</w:t>
      </w:r>
      <w:r>
        <w:rPr>
          <w:spacing w:val="-5"/>
        </w:rPr>
        <w:t xml:space="preserve"> </w:t>
      </w:r>
      <w:r>
        <w:t>all</w:t>
      </w:r>
      <w:r>
        <w:rPr>
          <w:spacing w:val="-5"/>
        </w:rPr>
        <w:t xml:space="preserve"> </w:t>
      </w:r>
      <w:r>
        <w:t>older</w:t>
      </w:r>
      <w:r>
        <w:rPr>
          <w:spacing w:val="-4"/>
        </w:rPr>
        <w:t xml:space="preserve"> </w:t>
      </w:r>
      <w:r>
        <w:t>persons</w:t>
      </w:r>
      <w:r>
        <w:rPr>
          <w:spacing w:val="-5"/>
        </w:rPr>
        <w:t xml:space="preserve"> </w:t>
      </w:r>
      <w:r>
        <w:t>in their full diversity must be considered in the drafting process of any future instrument.</w:t>
      </w:r>
    </w:p>
    <w:p w14:paraId="5CF394C7" w14:textId="77777777" w:rsidR="00FA3B53" w:rsidRDefault="00FA3B53" w:rsidP="00FA3B53">
      <w:pPr>
        <w:pStyle w:val="ae"/>
        <w:spacing w:before="157" w:line="278" w:lineRule="auto"/>
        <w:ind w:right="234"/>
      </w:pPr>
      <w:r>
        <w:t>These</w:t>
      </w:r>
      <w:r>
        <w:rPr>
          <w:spacing w:val="-1"/>
        </w:rPr>
        <w:t xml:space="preserve"> </w:t>
      </w:r>
      <w:r>
        <w:t>elements –</w:t>
      </w:r>
      <w:r>
        <w:rPr>
          <w:spacing w:val="-1"/>
        </w:rPr>
        <w:t xml:space="preserve"> </w:t>
      </w:r>
      <w:r>
        <w:t>participation, accessibility, access</w:t>
      </w:r>
      <w:r>
        <w:rPr>
          <w:spacing w:val="-1"/>
        </w:rPr>
        <w:t xml:space="preserve"> </w:t>
      </w:r>
      <w:r>
        <w:t>to information, and intersectionality – are</w:t>
      </w:r>
      <w:r>
        <w:rPr>
          <w:spacing w:val="-3"/>
        </w:rPr>
        <w:t xml:space="preserve"> </w:t>
      </w:r>
      <w:r>
        <w:t>core</w:t>
      </w:r>
      <w:r>
        <w:rPr>
          <w:spacing w:val="-5"/>
        </w:rPr>
        <w:t xml:space="preserve"> </w:t>
      </w:r>
      <w:r>
        <w:t>human</w:t>
      </w:r>
      <w:r>
        <w:rPr>
          <w:spacing w:val="-3"/>
        </w:rPr>
        <w:t xml:space="preserve"> </w:t>
      </w:r>
      <w:r>
        <w:t>rights</w:t>
      </w:r>
      <w:r>
        <w:rPr>
          <w:spacing w:val="-4"/>
        </w:rPr>
        <w:t xml:space="preserve"> </w:t>
      </w:r>
      <w:r>
        <w:t>principles</w:t>
      </w:r>
      <w:r>
        <w:rPr>
          <w:spacing w:val="-4"/>
        </w:rPr>
        <w:t xml:space="preserve"> </w:t>
      </w:r>
      <w:r>
        <w:t>that</w:t>
      </w:r>
      <w:r>
        <w:rPr>
          <w:spacing w:val="-5"/>
        </w:rPr>
        <w:t xml:space="preserve"> </w:t>
      </w:r>
      <w:r>
        <w:t>must</w:t>
      </w:r>
      <w:r>
        <w:rPr>
          <w:spacing w:val="-5"/>
        </w:rPr>
        <w:t xml:space="preserve"> </w:t>
      </w:r>
      <w:r>
        <w:t>shape</w:t>
      </w:r>
      <w:r>
        <w:rPr>
          <w:spacing w:val="-5"/>
        </w:rPr>
        <w:t xml:space="preserve"> </w:t>
      </w:r>
      <w:r>
        <w:t>both</w:t>
      </w:r>
      <w:r>
        <w:rPr>
          <w:spacing w:val="-3"/>
        </w:rPr>
        <w:t xml:space="preserve"> </w:t>
      </w:r>
      <w:r>
        <w:t>the</w:t>
      </w:r>
      <w:r>
        <w:rPr>
          <w:spacing w:val="-6"/>
        </w:rPr>
        <w:t xml:space="preserve"> </w:t>
      </w:r>
      <w:r>
        <w:t>process</w:t>
      </w:r>
      <w:r>
        <w:rPr>
          <w:spacing w:val="-4"/>
        </w:rPr>
        <w:t xml:space="preserve"> </w:t>
      </w:r>
      <w:r>
        <w:t>and</w:t>
      </w:r>
      <w:r>
        <w:rPr>
          <w:spacing w:val="-5"/>
        </w:rPr>
        <w:t xml:space="preserve"> </w:t>
      </w:r>
      <w:r>
        <w:t>the</w:t>
      </w:r>
      <w:r>
        <w:rPr>
          <w:spacing w:val="-6"/>
        </w:rPr>
        <w:t xml:space="preserve"> </w:t>
      </w:r>
      <w:r>
        <w:t>outcome</w:t>
      </w:r>
      <w:r>
        <w:rPr>
          <w:spacing w:val="-5"/>
        </w:rPr>
        <w:t xml:space="preserve"> </w:t>
      </w:r>
      <w:r>
        <w:t>of</w:t>
      </w:r>
      <w:r>
        <w:rPr>
          <w:spacing w:val="-5"/>
        </w:rPr>
        <w:t xml:space="preserve"> </w:t>
      </w:r>
      <w:r>
        <w:t>this Working Group.</w:t>
      </w:r>
    </w:p>
    <w:p w14:paraId="079F7D2C" w14:textId="77777777" w:rsidR="00FA3B53" w:rsidRDefault="00FA3B53" w:rsidP="00FA3B53">
      <w:pPr>
        <w:pStyle w:val="ae"/>
        <w:spacing w:before="159"/>
      </w:pPr>
      <w:r>
        <w:t>Thank</w:t>
      </w:r>
      <w:r>
        <w:rPr>
          <w:spacing w:val="-5"/>
        </w:rPr>
        <w:t xml:space="preserve"> </w:t>
      </w:r>
      <w:r>
        <w:t>you</w:t>
      </w:r>
      <w:r>
        <w:rPr>
          <w:spacing w:val="-3"/>
        </w:rPr>
        <w:t xml:space="preserve"> </w:t>
      </w:r>
      <w:r>
        <w:t>very</w:t>
      </w:r>
      <w:r>
        <w:rPr>
          <w:spacing w:val="-4"/>
        </w:rPr>
        <w:t xml:space="preserve"> </w:t>
      </w:r>
      <w:r>
        <w:t>much</w:t>
      </w:r>
      <w:r>
        <w:rPr>
          <w:spacing w:val="-3"/>
        </w:rPr>
        <w:t xml:space="preserve"> </w:t>
      </w:r>
      <w:r>
        <w:t>for</w:t>
      </w:r>
      <w:r>
        <w:rPr>
          <w:spacing w:val="-4"/>
        </w:rPr>
        <w:t xml:space="preserve"> </w:t>
      </w:r>
      <w:r>
        <w:rPr>
          <w:spacing w:val="-2"/>
        </w:rPr>
        <w:t>attention.</w:t>
      </w:r>
    </w:p>
    <w:p w14:paraId="25228567" w14:textId="77777777" w:rsidR="00FA3B53" w:rsidRDefault="00FA3B53">
      <w:pPr>
        <w:rPr>
          <w:lang w:eastAsia="ja-JP"/>
        </w:rPr>
      </w:pPr>
    </w:p>
    <w:sectPr w:rsidR="00FA3B53" w:rsidSect="006A05DC">
      <w:footerReference w:type="even" r:id="rId6"/>
      <w:footerReference w:type="first" r:id="rId7"/>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92E1" w14:textId="77777777" w:rsidR="00FA3B53" w:rsidRDefault="00FA3B53" w:rsidP="00FA3B53">
      <w:r>
        <w:separator/>
      </w:r>
    </w:p>
  </w:endnote>
  <w:endnote w:type="continuationSeparator" w:id="0">
    <w:p w14:paraId="027D92BB" w14:textId="77777777" w:rsidR="00FA3B53" w:rsidRDefault="00FA3B53" w:rsidP="00FA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934925"/>
      <w:docPartObj>
        <w:docPartGallery w:val="Page Numbers (Bottom of Page)"/>
        <w:docPartUnique/>
      </w:docPartObj>
    </w:sdtPr>
    <w:sdtEndPr/>
    <w:sdtContent>
      <w:p w14:paraId="17124AA0" w14:textId="3D4836F0" w:rsidR="00FA3B53" w:rsidRDefault="00FA3B53">
        <w:pPr>
          <w:pStyle w:val="ac"/>
        </w:pPr>
        <w:r>
          <w:fldChar w:fldCharType="begin"/>
        </w:r>
        <w:r>
          <w:instrText>PAGE   \* MERGEFORMAT</w:instrText>
        </w:r>
        <w:r>
          <w:fldChar w:fldCharType="separate"/>
        </w:r>
        <w:r>
          <w:rPr>
            <w:lang w:val="ja-JP" w:eastAsia="ja-JP"/>
          </w:rPr>
          <w:t>2</w:t>
        </w:r>
        <w:r>
          <w:fldChar w:fldCharType="end"/>
        </w:r>
      </w:p>
    </w:sdtContent>
  </w:sdt>
  <w:p w14:paraId="002AEAD6" w14:textId="77777777" w:rsidR="00FA3B53" w:rsidRDefault="00FA3B5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115651"/>
      <w:docPartObj>
        <w:docPartGallery w:val="Page Numbers (Bottom of Page)"/>
        <w:docPartUnique/>
      </w:docPartObj>
    </w:sdtPr>
    <w:sdtEndPr/>
    <w:sdtContent>
      <w:p w14:paraId="6B3436E7" w14:textId="0BA06630" w:rsidR="00FA3B53" w:rsidRDefault="00FA3B53">
        <w:pPr>
          <w:pStyle w:val="ac"/>
        </w:pPr>
        <w:r>
          <w:fldChar w:fldCharType="begin"/>
        </w:r>
        <w:r>
          <w:instrText>PAGE   \* MERGEFORMAT</w:instrText>
        </w:r>
        <w:r>
          <w:fldChar w:fldCharType="separate"/>
        </w:r>
        <w:r>
          <w:rPr>
            <w:lang w:val="ja-JP" w:eastAsia="ja-JP"/>
          </w:rPr>
          <w:t>2</w:t>
        </w:r>
        <w:r>
          <w:fldChar w:fldCharType="end"/>
        </w:r>
      </w:p>
    </w:sdtContent>
  </w:sdt>
  <w:p w14:paraId="369890C2" w14:textId="77777777" w:rsidR="00FA3B53" w:rsidRDefault="00FA3B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F828" w14:textId="77777777" w:rsidR="00FA3B53" w:rsidRDefault="00FA3B53" w:rsidP="00FA3B53">
      <w:r>
        <w:separator/>
      </w:r>
    </w:p>
  </w:footnote>
  <w:footnote w:type="continuationSeparator" w:id="0">
    <w:p w14:paraId="2588A2E3" w14:textId="77777777" w:rsidR="00FA3B53" w:rsidRDefault="00FA3B53" w:rsidP="00FA3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53"/>
    <w:rsid w:val="000B2AFD"/>
    <w:rsid w:val="00152B39"/>
    <w:rsid w:val="003126F0"/>
    <w:rsid w:val="00373060"/>
    <w:rsid w:val="003A6E34"/>
    <w:rsid w:val="00601F7C"/>
    <w:rsid w:val="00692D7C"/>
    <w:rsid w:val="006A05DC"/>
    <w:rsid w:val="0070471F"/>
    <w:rsid w:val="0079403C"/>
    <w:rsid w:val="00A41658"/>
    <w:rsid w:val="00A63347"/>
    <w:rsid w:val="00AF582A"/>
    <w:rsid w:val="00B37471"/>
    <w:rsid w:val="00BC72F7"/>
    <w:rsid w:val="00BD669D"/>
    <w:rsid w:val="00C90A1F"/>
    <w:rsid w:val="00D61491"/>
    <w:rsid w:val="00FA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BFAA66"/>
  <w15:chartTrackingRefBased/>
  <w15:docId w15:val="{638E1BF0-36B6-4244-AC76-CB17C509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A3B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3B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3B5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3B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3B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3B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3B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3B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3B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3B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3B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3B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3B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3B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3B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3B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3B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3B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3B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3B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B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3B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B53"/>
    <w:pPr>
      <w:spacing w:before="160" w:after="160"/>
      <w:jc w:val="center"/>
    </w:pPr>
    <w:rPr>
      <w:i/>
      <w:iCs/>
      <w:color w:val="404040" w:themeColor="text1" w:themeTint="BF"/>
    </w:rPr>
  </w:style>
  <w:style w:type="character" w:customStyle="1" w:styleId="a8">
    <w:name w:val="引用文 (文字)"/>
    <w:basedOn w:val="a0"/>
    <w:link w:val="a7"/>
    <w:uiPriority w:val="29"/>
    <w:rsid w:val="00FA3B53"/>
    <w:rPr>
      <w:i/>
      <w:iCs/>
      <w:color w:val="404040" w:themeColor="text1" w:themeTint="BF"/>
    </w:rPr>
  </w:style>
  <w:style w:type="paragraph" w:styleId="a9">
    <w:name w:val="List Paragraph"/>
    <w:basedOn w:val="a"/>
    <w:uiPriority w:val="34"/>
    <w:qFormat/>
    <w:rsid w:val="00FA3B53"/>
    <w:pPr>
      <w:ind w:left="720"/>
      <w:contextualSpacing/>
    </w:pPr>
  </w:style>
  <w:style w:type="character" w:styleId="21">
    <w:name w:val="Intense Emphasis"/>
    <w:basedOn w:val="a0"/>
    <w:uiPriority w:val="21"/>
    <w:qFormat/>
    <w:rsid w:val="00FA3B53"/>
    <w:rPr>
      <w:i/>
      <w:iCs/>
      <w:color w:val="2F5496" w:themeColor="accent1" w:themeShade="BF"/>
    </w:rPr>
  </w:style>
  <w:style w:type="paragraph" w:styleId="22">
    <w:name w:val="Intense Quote"/>
    <w:basedOn w:val="a"/>
    <w:next w:val="a"/>
    <w:link w:val="23"/>
    <w:uiPriority w:val="30"/>
    <w:qFormat/>
    <w:rsid w:val="00FA3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A3B53"/>
    <w:rPr>
      <w:i/>
      <w:iCs/>
      <w:color w:val="2F5496" w:themeColor="accent1" w:themeShade="BF"/>
    </w:rPr>
  </w:style>
  <w:style w:type="character" w:styleId="24">
    <w:name w:val="Intense Reference"/>
    <w:basedOn w:val="a0"/>
    <w:uiPriority w:val="32"/>
    <w:qFormat/>
    <w:rsid w:val="00FA3B53"/>
    <w:rPr>
      <w:b/>
      <w:bCs/>
      <w:smallCaps/>
      <w:color w:val="2F5496" w:themeColor="accent1" w:themeShade="BF"/>
      <w:spacing w:val="5"/>
    </w:rPr>
  </w:style>
  <w:style w:type="paragraph" w:styleId="aa">
    <w:name w:val="header"/>
    <w:basedOn w:val="a"/>
    <w:link w:val="ab"/>
    <w:uiPriority w:val="99"/>
    <w:unhideWhenUsed/>
    <w:rsid w:val="00FA3B53"/>
    <w:pPr>
      <w:tabs>
        <w:tab w:val="center" w:pos="4252"/>
        <w:tab w:val="right" w:pos="8504"/>
      </w:tabs>
      <w:snapToGrid w:val="0"/>
    </w:pPr>
  </w:style>
  <w:style w:type="character" w:customStyle="1" w:styleId="ab">
    <w:name w:val="ヘッダー (文字)"/>
    <w:basedOn w:val="a0"/>
    <w:link w:val="aa"/>
    <w:uiPriority w:val="99"/>
    <w:rsid w:val="00FA3B53"/>
  </w:style>
  <w:style w:type="paragraph" w:styleId="ac">
    <w:name w:val="footer"/>
    <w:basedOn w:val="a"/>
    <w:link w:val="ad"/>
    <w:uiPriority w:val="99"/>
    <w:unhideWhenUsed/>
    <w:rsid w:val="00FA3B53"/>
    <w:pPr>
      <w:tabs>
        <w:tab w:val="center" w:pos="4252"/>
        <w:tab w:val="right" w:pos="8504"/>
      </w:tabs>
      <w:snapToGrid w:val="0"/>
    </w:pPr>
  </w:style>
  <w:style w:type="character" w:customStyle="1" w:styleId="ad">
    <w:name w:val="フッター (文字)"/>
    <w:basedOn w:val="a0"/>
    <w:link w:val="ac"/>
    <w:uiPriority w:val="99"/>
    <w:rsid w:val="00FA3B53"/>
  </w:style>
  <w:style w:type="paragraph" w:styleId="ae">
    <w:name w:val="Body Text"/>
    <w:basedOn w:val="a"/>
    <w:link w:val="af"/>
    <w:uiPriority w:val="1"/>
    <w:qFormat/>
    <w:rsid w:val="00FA3B53"/>
    <w:pPr>
      <w:autoSpaceDE w:val="0"/>
      <w:autoSpaceDN w:val="0"/>
      <w:ind w:left="141"/>
      <w:jc w:val="left"/>
    </w:pPr>
    <w:rPr>
      <w:rFonts w:ascii="Calibri" w:eastAsia="Calibri" w:hAnsi="Calibri" w:cs="Calibri"/>
      <w:kern w:val="0"/>
      <w:sz w:val="24"/>
      <w:szCs w:val="24"/>
      <w:lang w:val="en-US" w:eastAsia="en-US"/>
    </w:rPr>
  </w:style>
  <w:style w:type="character" w:customStyle="1" w:styleId="af">
    <w:name w:val="本文 (文字)"/>
    <w:basedOn w:val="a0"/>
    <w:link w:val="ae"/>
    <w:uiPriority w:val="1"/>
    <w:rsid w:val="00FA3B53"/>
    <w:rPr>
      <w:rFonts w:ascii="Calibri" w:eastAsia="Calibri" w:hAnsi="Calibri" w:cs="Calibri"/>
      <w:kern w:val="0"/>
      <w:sz w:val="24"/>
      <w:szCs w:val="24"/>
      <w:lang w:val="en-US" w:eastAsia="en-US"/>
    </w:rPr>
  </w:style>
  <w:style w:type="paragraph" w:styleId="Web">
    <w:name w:val="Normal (Web)"/>
    <w:basedOn w:val="a"/>
    <w:uiPriority w:val="99"/>
    <w:semiHidden/>
    <w:unhideWhenUsed/>
    <w:rsid w:val="00FA3B53"/>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2026-05-10T03:45:00Z</dcterms:created>
  <dcterms:modified xsi:type="dcterms:W3CDTF">2026-05-10T03:45:00Z</dcterms:modified>
</cp:coreProperties>
</file>