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E8A7" w14:textId="77777777" w:rsidR="005E6B44" w:rsidRDefault="005E6B44" w:rsidP="005E6B44">
      <w:pPr>
        <w:pStyle w:val="Web"/>
        <w:spacing w:after="0" w:afterAutospacing="0"/>
        <w:rPr>
          <w:rFonts w:ascii="BIZ UDPゴシック" w:eastAsia="BIZ UDPゴシック" w:hAnsi="BIZ UDPゴシック"/>
        </w:rPr>
      </w:pPr>
      <w:r>
        <w:rPr>
          <w:rFonts w:ascii="BIZ UDPゴシック" w:eastAsia="BIZ UDPゴシック" w:hAnsi="BIZ UDPゴシック" w:hint="eastAsia"/>
        </w:rPr>
        <w:t>議題5　一般的意見</w:t>
      </w:r>
    </w:p>
    <w:p w14:paraId="5DDA0C46" w14:textId="77777777" w:rsidR="005E6B44" w:rsidRDefault="005E6B44" w:rsidP="002C7DE3">
      <w:pPr>
        <w:pStyle w:val="Web"/>
        <w:rPr>
          <w:rFonts w:ascii="BIZ UDPゴシック" w:eastAsia="BIZ UDPゴシック" w:hAnsi="BIZ UDPゴシック"/>
        </w:rPr>
      </w:pPr>
    </w:p>
    <w:p w14:paraId="24796DC4" w14:textId="0617E5DD" w:rsidR="002C7DE3" w:rsidRPr="002C7DE3" w:rsidRDefault="002C7DE3" w:rsidP="002C7DE3">
      <w:pPr>
        <w:pStyle w:val="Web"/>
        <w:rPr>
          <w:rFonts w:ascii="BIZ UDPゴシック" w:eastAsia="BIZ UDPゴシック" w:hAnsi="BIZ UDPゴシック"/>
        </w:rPr>
      </w:pPr>
      <w:r w:rsidRPr="002C7DE3">
        <w:rPr>
          <w:rFonts w:ascii="BIZ UDPゴシック" w:eastAsia="BIZ UDPゴシック" w:hAnsi="BIZ UDPゴシック"/>
        </w:rPr>
        <w:t>アムネスティ・インターナショナル</w:t>
      </w:r>
    </w:p>
    <w:p w14:paraId="5A80ED85" w14:textId="2C05082B" w:rsidR="002C7DE3" w:rsidRPr="002C7DE3" w:rsidRDefault="002C7DE3" w:rsidP="002C7DE3">
      <w:pPr>
        <w:pStyle w:val="Web"/>
        <w:ind w:firstLineChars="100" w:firstLine="210"/>
        <w:rPr>
          <w:rFonts w:ascii="ＭＳ 明朝" w:eastAsia="ＭＳ 明朝" w:hAnsi="ＭＳ 明朝"/>
          <w:sz w:val="21"/>
          <w:szCs w:val="21"/>
        </w:rPr>
      </w:pPr>
      <w:r w:rsidRPr="002C7DE3">
        <w:rPr>
          <w:rFonts w:ascii="ＭＳ 明朝" w:eastAsia="ＭＳ 明朝" w:hAnsi="ＭＳ 明朝"/>
          <w:sz w:val="21"/>
          <w:szCs w:val="21"/>
        </w:rPr>
        <w:t>議長、皆様、</w:t>
      </w:r>
    </w:p>
    <w:p w14:paraId="1F24E308" w14:textId="05534581" w:rsidR="002C7DE3" w:rsidRPr="002C7DE3" w:rsidRDefault="002C7DE3" w:rsidP="002C7DE3">
      <w:pPr>
        <w:pStyle w:val="Web"/>
        <w:ind w:firstLineChars="100" w:firstLine="210"/>
        <w:rPr>
          <w:rFonts w:ascii="ＭＳ 明朝" w:eastAsia="ＭＳ 明朝" w:hAnsi="ＭＳ 明朝"/>
          <w:sz w:val="21"/>
          <w:szCs w:val="21"/>
        </w:rPr>
      </w:pPr>
      <w:r w:rsidRPr="002C7DE3">
        <w:rPr>
          <w:rFonts w:ascii="ＭＳ 明朝" w:eastAsia="ＭＳ 明朝" w:hAnsi="ＭＳ 明朝"/>
          <w:sz w:val="21"/>
          <w:szCs w:val="21"/>
        </w:rPr>
        <w:t>アムネスティ・インターナショナルは、</w:t>
      </w:r>
      <w:r>
        <w:rPr>
          <w:rFonts w:ascii="ＭＳ 明朝" w:eastAsia="ＭＳ 明朝" w:hAnsi="ＭＳ 明朝" w:hint="eastAsia"/>
          <w:sz w:val="21"/>
          <w:szCs w:val="21"/>
        </w:rPr>
        <w:t>この初回の</w:t>
      </w:r>
      <w:r w:rsidRPr="002C7DE3">
        <w:rPr>
          <w:rFonts w:ascii="ＭＳ 明朝" w:eastAsia="ＭＳ 明朝" w:hAnsi="ＭＳ 明朝"/>
          <w:sz w:val="21"/>
          <w:szCs w:val="21"/>
        </w:rPr>
        <w:t>会合の開催を歓迎するとともに、本作業部会が、人権侵害の記録にとどまらず、国際人権システム</w:t>
      </w:r>
      <w:r>
        <w:rPr>
          <w:rFonts w:ascii="ＭＳ 明朝" w:eastAsia="ＭＳ 明朝" w:hAnsi="ＭＳ 明朝" w:hint="eastAsia"/>
          <w:sz w:val="21"/>
          <w:szCs w:val="21"/>
        </w:rPr>
        <w:t>の</w:t>
      </w:r>
      <w:r w:rsidRPr="002C7DE3">
        <w:rPr>
          <w:rFonts w:ascii="ＭＳ 明朝" w:eastAsia="ＭＳ 明朝" w:hAnsi="ＭＳ 明朝"/>
          <w:sz w:val="21"/>
          <w:szCs w:val="21"/>
        </w:rPr>
        <w:t>保護の</w:t>
      </w:r>
      <w:r>
        <w:rPr>
          <w:rFonts w:ascii="ＭＳ 明朝" w:eastAsia="ＭＳ 明朝" w:hAnsi="ＭＳ 明朝" w:hint="eastAsia"/>
          <w:sz w:val="21"/>
          <w:szCs w:val="21"/>
        </w:rPr>
        <w:t>空白</w:t>
      </w:r>
      <w:r w:rsidRPr="002C7DE3">
        <w:rPr>
          <w:rFonts w:ascii="ＭＳ 明朝" w:eastAsia="ＭＳ 明朝" w:hAnsi="ＭＳ 明朝"/>
          <w:sz w:val="21"/>
          <w:szCs w:val="21"/>
        </w:rPr>
        <w:t>を埋める歴史的な機会である</w:t>
      </w:r>
      <w:r>
        <w:rPr>
          <w:rFonts w:ascii="ＭＳ 明朝" w:eastAsia="ＭＳ 明朝" w:hAnsi="ＭＳ 明朝" w:hint="eastAsia"/>
          <w:sz w:val="21"/>
          <w:szCs w:val="21"/>
        </w:rPr>
        <w:t>と</w:t>
      </w:r>
      <w:r w:rsidRPr="002C7DE3">
        <w:rPr>
          <w:rFonts w:ascii="ＭＳ 明朝" w:eastAsia="ＭＳ 明朝" w:hAnsi="ＭＳ 明朝"/>
          <w:sz w:val="21"/>
          <w:szCs w:val="21"/>
        </w:rPr>
        <w:t>認識しています。</w:t>
      </w:r>
    </w:p>
    <w:p w14:paraId="652669F8" w14:textId="497DA895" w:rsidR="002C7DE3" w:rsidRPr="002C7DE3" w:rsidRDefault="002C7DE3" w:rsidP="002C7DE3">
      <w:pPr>
        <w:pStyle w:val="Web"/>
        <w:ind w:firstLineChars="100" w:firstLine="210"/>
        <w:rPr>
          <w:rFonts w:ascii="ＭＳ 明朝" w:eastAsia="ＭＳ 明朝" w:hAnsi="ＭＳ 明朝"/>
          <w:sz w:val="21"/>
          <w:szCs w:val="21"/>
        </w:rPr>
      </w:pPr>
      <w:r>
        <w:rPr>
          <w:rFonts w:ascii="ＭＳ 明朝" w:eastAsia="ＭＳ 明朝" w:hAnsi="ＭＳ 明朝"/>
          <w:sz w:val="21"/>
          <w:szCs w:val="21"/>
        </w:rPr>
        <w:t>私たち</w:t>
      </w:r>
      <w:r w:rsidRPr="002C7DE3">
        <w:rPr>
          <w:rFonts w:ascii="ＭＳ 明朝" w:eastAsia="ＭＳ 明朝" w:hAnsi="ＭＳ 明朝"/>
          <w:sz w:val="21"/>
          <w:szCs w:val="21"/>
        </w:rPr>
        <w:t>は</w:t>
      </w:r>
      <w:r>
        <w:rPr>
          <w:rFonts w:ascii="ＭＳ 明朝" w:eastAsia="ＭＳ 明朝" w:hAnsi="ＭＳ 明朝" w:hint="eastAsia"/>
          <w:sz w:val="21"/>
          <w:szCs w:val="21"/>
        </w:rPr>
        <w:t>、</w:t>
      </w:r>
      <w:r w:rsidRPr="002C7DE3">
        <w:rPr>
          <w:rFonts w:ascii="ＭＳ 明朝" w:eastAsia="ＭＳ 明朝" w:hAnsi="ＭＳ 明朝"/>
          <w:sz w:val="21"/>
          <w:szCs w:val="21"/>
        </w:rPr>
        <w:t>このプロセス</w:t>
      </w:r>
      <w:r>
        <w:rPr>
          <w:rFonts w:ascii="ＭＳ 明朝" w:eastAsia="ＭＳ 明朝" w:hAnsi="ＭＳ 明朝" w:hint="eastAsia"/>
          <w:sz w:val="21"/>
          <w:szCs w:val="21"/>
        </w:rPr>
        <w:t>において</w:t>
      </w:r>
      <w:r w:rsidRPr="002C7DE3">
        <w:rPr>
          <w:rFonts w:ascii="ＭＳ 明朝" w:eastAsia="ＭＳ 明朝" w:hAnsi="ＭＳ 明朝"/>
          <w:sz w:val="21"/>
          <w:szCs w:val="21"/>
        </w:rPr>
        <w:t>「私たち抜き</w:t>
      </w:r>
      <w:r>
        <w:rPr>
          <w:rFonts w:ascii="ＭＳ 明朝" w:eastAsia="ＭＳ 明朝" w:hAnsi="ＭＳ 明朝" w:hint="eastAsia"/>
          <w:sz w:val="21"/>
          <w:szCs w:val="21"/>
        </w:rPr>
        <w:t>に</w:t>
      </w:r>
      <w:r w:rsidRPr="002C7DE3">
        <w:rPr>
          <w:rFonts w:ascii="ＭＳ 明朝" w:eastAsia="ＭＳ 明朝" w:hAnsi="ＭＳ 明朝"/>
          <w:sz w:val="21"/>
          <w:szCs w:val="21"/>
        </w:rPr>
        <w:t>私たち</w:t>
      </w:r>
      <w:r>
        <w:rPr>
          <w:rFonts w:ascii="ＭＳ 明朝" w:eastAsia="ＭＳ 明朝" w:hAnsi="ＭＳ 明朝" w:hint="eastAsia"/>
          <w:sz w:val="21"/>
          <w:szCs w:val="21"/>
        </w:rPr>
        <w:t>のことを決めないで</w:t>
      </w:r>
      <w:r w:rsidRPr="002C7DE3">
        <w:rPr>
          <w:rFonts w:ascii="ＭＳ 明朝" w:eastAsia="ＭＳ 明朝" w:hAnsi="ＭＳ 明朝"/>
          <w:sz w:val="21"/>
          <w:szCs w:val="21"/>
        </w:rPr>
        <w:t>」という原則を完全に実施することの重要性を強調します。本会合において、ECOSOC（経済社会理事会）に</w:t>
      </w:r>
      <w:r>
        <w:rPr>
          <w:rFonts w:ascii="ＭＳ 明朝" w:eastAsia="ＭＳ 明朝" w:hAnsi="ＭＳ 明朝" w:hint="eastAsia"/>
          <w:sz w:val="21"/>
          <w:szCs w:val="21"/>
        </w:rPr>
        <w:t>協議資格を</w:t>
      </w:r>
      <w:r w:rsidRPr="002C7DE3">
        <w:rPr>
          <w:rFonts w:ascii="ＭＳ 明朝" w:eastAsia="ＭＳ 明朝" w:hAnsi="ＭＳ 明朝"/>
          <w:sz w:val="21"/>
          <w:szCs w:val="21"/>
        </w:rPr>
        <w:t>認定されていないNGOの参加が認められたことは評価しますが、高齢者および市民社会による有意義な関与は、起草プロセス全体を通じて恒久的な要素であり続けなければなりません。</w:t>
      </w:r>
    </w:p>
    <w:p w14:paraId="0DBC348D" w14:textId="5916E971" w:rsidR="002C7DE3" w:rsidRPr="002C7DE3" w:rsidRDefault="002C7DE3" w:rsidP="002C7DE3">
      <w:pPr>
        <w:pStyle w:val="Web"/>
        <w:ind w:firstLineChars="100" w:firstLine="210"/>
        <w:rPr>
          <w:rFonts w:ascii="ＭＳ 明朝" w:eastAsia="ＭＳ 明朝" w:hAnsi="ＭＳ 明朝"/>
          <w:sz w:val="21"/>
          <w:szCs w:val="21"/>
        </w:rPr>
      </w:pPr>
      <w:r w:rsidRPr="002C7DE3">
        <w:rPr>
          <w:rFonts w:ascii="ＭＳ 明朝" w:eastAsia="ＭＳ 明朝" w:hAnsi="ＭＳ 明朝"/>
          <w:sz w:val="21"/>
          <w:szCs w:val="21"/>
        </w:rPr>
        <w:t>第一に、市民社会および高齢者は、公式・非公式の会合への出席、</w:t>
      </w:r>
      <w:r w:rsidR="00F2593B">
        <w:rPr>
          <w:rFonts w:ascii="ＭＳ 明朝" w:eastAsia="ＭＳ 明朝" w:hAnsi="ＭＳ 明朝" w:hint="eastAsia"/>
          <w:sz w:val="21"/>
          <w:szCs w:val="21"/>
        </w:rPr>
        <w:t>意見の</w:t>
      </w:r>
      <w:r w:rsidRPr="002C7DE3">
        <w:rPr>
          <w:rFonts w:ascii="ＭＳ 明朝" w:eastAsia="ＭＳ 明朝" w:hAnsi="ＭＳ 明朝"/>
          <w:sz w:val="21"/>
          <w:szCs w:val="21"/>
        </w:rPr>
        <w:t>口頭発表、資料の</w:t>
      </w:r>
      <w:r w:rsidR="00F2593B">
        <w:rPr>
          <w:rFonts w:ascii="ＭＳ 明朝" w:eastAsia="ＭＳ 明朝" w:hAnsi="ＭＳ 明朝" w:hint="eastAsia"/>
          <w:sz w:val="21"/>
          <w:szCs w:val="21"/>
        </w:rPr>
        <w:t>タイムリーな</w:t>
      </w:r>
      <w:r w:rsidRPr="002C7DE3">
        <w:rPr>
          <w:rFonts w:ascii="ＭＳ 明朝" w:eastAsia="ＭＳ 明朝" w:hAnsi="ＭＳ 明朝"/>
          <w:sz w:val="21"/>
          <w:szCs w:val="21"/>
        </w:rPr>
        <w:t>受領、書面による意見提出を含め、プロセス全体を通じて直接参加できる必要があります。</w:t>
      </w:r>
    </w:p>
    <w:p w14:paraId="0838B674" w14:textId="45FB253E" w:rsidR="002C7DE3" w:rsidRPr="002C7DE3" w:rsidRDefault="002C7DE3" w:rsidP="002C7DE3">
      <w:pPr>
        <w:pStyle w:val="Web"/>
        <w:ind w:firstLineChars="100" w:firstLine="210"/>
        <w:rPr>
          <w:rFonts w:ascii="ＭＳ 明朝" w:eastAsia="ＭＳ 明朝" w:hAnsi="ＭＳ 明朝"/>
          <w:sz w:val="21"/>
          <w:szCs w:val="21"/>
        </w:rPr>
      </w:pPr>
      <w:r w:rsidRPr="002C7DE3">
        <w:rPr>
          <w:rFonts w:ascii="ＭＳ 明朝" w:eastAsia="ＭＳ 明朝" w:hAnsi="ＭＳ 明朝"/>
          <w:sz w:val="21"/>
          <w:szCs w:val="21"/>
        </w:rPr>
        <w:t>第二に、今後の会合では、ライブオンライン発言やウェブキャストを通じて</w:t>
      </w:r>
      <w:r w:rsidR="00F2593B">
        <w:rPr>
          <w:rFonts w:ascii="ＭＳ 明朝" w:eastAsia="ＭＳ 明朝" w:hAnsi="ＭＳ 明朝" w:hint="eastAsia"/>
          <w:sz w:val="21"/>
          <w:szCs w:val="21"/>
        </w:rPr>
        <w:t>包摂</w:t>
      </w:r>
      <w:r w:rsidRPr="002C7DE3">
        <w:rPr>
          <w:rFonts w:ascii="ＭＳ 明朝" w:eastAsia="ＭＳ 明朝" w:hAnsi="ＭＳ 明朝"/>
          <w:sz w:val="21"/>
          <w:szCs w:val="21"/>
        </w:rPr>
        <w:t>的</w:t>
      </w:r>
      <w:r w:rsidR="00F2593B">
        <w:rPr>
          <w:rFonts w:ascii="ＭＳ 明朝" w:eastAsia="ＭＳ 明朝" w:hAnsi="ＭＳ 明朝" w:hint="eastAsia"/>
          <w:sz w:val="21"/>
          <w:szCs w:val="21"/>
        </w:rPr>
        <w:t>で</w:t>
      </w:r>
      <w:r w:rsidRPr="002C7DE3">
        <w:rPr>
          <w:rFonts w:ascii="ＭＳ 明朝" w:eastAsia="ＭＳ 明朝" w:hAnsi="ＭＳ 明朝"/>
          <w:sz w:val="21"/>
          <w:szCs w:val="21"/>
        </w:rPr>
        <w:t>平等な参加を確保するため、ハイブリッド形式を採用すべきです。これは、このプロセスが</w:t>
      </w:r>
      <w:r w:rsidR="00F2593B">
        <w:rPr>
          <w:rFonts w:ascii="ＭＳ 明朝" w:eastAsia="ＭＳ 明朝" w:hAnsi="ＭＳ 明朝" w:hint="eastAsia"/>
          <w:sz w:val="21"/>
          <w:szCs w:val="21"/>
        </w:rPr>
        <w:t>まさに</w:t>
      </w:r>
      <w:r w:rsidRPr="002C7DE3">
        <w:rPr>
          <w:rFonts w:ascii="ＭＳ 明朝" w:eastAsia="ＭＳ 明朝" w:hAnsi="ＭＳ 明朝"/>
          <w:sz w:val="21"/>
          <w:szCs w:val="21"/>
        </w:rPr>
        <w:t>保護</w:t>
      </w:r>
      <w:r w:rsidR="00F2593B">
        <w:rPr>
          <w:rFonts w:ascii="ＭＳ 明朝" w:eastAsia="ＭＳ 明朝" w:hAnsi="ＭＳ 明朝" w:hint="eastAsia"/>
          <w:sz w:val="21"/>
          <w:szCs w:val="21"/>
        </w:rPr>
        <w:t>しようとしている人々</w:t>
      </w:r>
      <w:r w:rsidRPr="002C7DE3">
        <w:rPr>
          <w:rFonts w:ascii="ＭＳ 明朝" w:eastAsia="ＭＳ 明朝" w:hAnsi="ＭＳ 明朝"/>
          <w:sz w:val="21"/>
          <w:szCs w:val="21"/>
        </w:rPr>
        <w:t>を</w:t>
      </w:r>
      <w:r w:rsidR="00F2593B">
        <w:rPr>
          <w:rFonts w:ascii="ＭＳ 明朝" w:eastAsia="ＭＳ 明朝" w:hAnsi="ＭＳ 明朝" w:hint="eastAsia"/>
          <w:sz w:val="21"/>
          <w:szCs w:val="21"/>
        </w:rPr>
        <w:t>、システムとして</w:t>
      </w:r>
      <w:r w:rsidRPr="002C7DE3">
        <w:rPr>
          <w:rFonts w:ascii="ＭＳ 明朝" w:eastAsia="ＭＳ 明朝" w:hAnsi="ＭＳ 明朝"/>
          <w:sz w:val="21"/>
          <w:szCs w:val="21"/>
        </w:rPr>
        <w:t>排除</w:t>
      </w:r>
      <w:r w:rsidR="00F2593B">
        <w:rPr>
          <w:rFonts w:ascii="ＭＳ 明朝" w:eastAsia="ＭＳ 明朝" w:hAnsi="ＭＳ 明朝" w:hint="eastAsia"/>
          <w:sz w:val="21"/>
          <w:szCs w:val="21"/>
        </w:rPr>
        <w:t>してしまう</w:t>
      </w:r>
      <w:r w:rsidRPr="002C7DE3">
        <w:rPr>
          <w:rFonts w:ascii="ＭＳ 明朝" w:eastAsia="ＭＳ 明朝" w:hAnsi="ＭＳ 明朝"/>
          <w:sz w:val="21"/>
          <w:szCs w:val="21"/>
        </w:rPr>
        <w:t>ことを防ぐために極めて重要です。</w:t>
      </w:r>
    </w:p>
    <w:p w14:paraId="02BC4095" w14:textId="4E9053C7" w:rsidR="002C7DE3" w:rsidRPr="002C7DE3" w:rsidRDefault="002C7DE3" w:rsidP="002C7DE3">
      <w:pPr>
        <w:pStyle w:val="Web"/>
        <w:ind w:firstLineChars="100" w:firstLine="210"/>
        <w:rPr>
          <w:rFonts w:ascii="ＭＳ 明朝" w:eastAsia="ＭＳ 明朝" w:hAnsi="ＭＳ 明朝"/>
          <w:sz w:val="21"/>
          <w:szCs w:val="21"/>
        </w:rPr>
      </w:pPr>
      <w:r w:rsidRPr="002C7DE3">
        <w:rPr>
          <w:rFonts w:ascii="ＭＳ 明朝" w:eastAsia="ＭＳ 明朝" w:hAnsi="ＭＳ 明朝"/>
          <w:sz w:val="21"/>
          <w:szCs w:val="21"/>
        </w:rPr>
        <w:t>第三に、</w:t>
      </w:r>
      <w:r w:rsidR="00E20AA8">
        <w:rPr>
          <w:rFonts w:ascii="ＭＳ 明朝" w:eastAsia="ＭＳ 明朝" w:hAnsi="ＭＳ 明朝" w:hint="eastAsia"/>
          <w:sz w:val="21"/>
          <w:szCs w:val="21"/>
        </w:rPr>
        <w:t>あらゆる協議において</w:t>
      </w:r>
      <w:r w:rsidRPr="002C7DE3">
        <w:rPr>
          <w:rFonts w:ascii="ＭＳ 明朝" w:eastAsia="ＭＳ 明朝" w:hAnsi="ＭＳ 明朝"/>
          <w:sz w:val="21"/>
          <w:szCs w:val="21"/>
        </w:rPr>
        <w:t>透明性とアクセシビリティが不可欠で</w:t>
      </w:r>
      <w:r w:rsidR="00F2593B">
        <w:rPr>
          <w:rFonts w:ascii="ＭＳ 明朝" w:eastAsia="ＭＳ 明朝" w:hAnsi="ＭＳ 明朝" w:hint="eastAsia"/>
          <w:sz w:val="21"/>
          <w:szCs w:val="21"/>
        </w:rPr>
        <w:t>す</w:t>
      </w:r>
      <w:r w:rsidRPr="002C7DE3">
        <w:rPr>
          <w:rFonts w:ascii="ＭＳ 明朝" w:eastAsia="ＭＳ 明朝" w:hAnsi="ＭＳ 明朝"/>
          <w:sz w:val="21"/>
          <w:szCs w:val="21"/>
        </w:rPr>
        <w:t>。これには、必要な場合にはアクセシブルな情報提供や合理的配慮を通じて、高齢者、特に障害のある高齢者の完全な参加を可能にする</w:t>
      </w:r>
      <w:r w:rsidR="00E20AA8">
        <w:rPr>
          <w:rFonts w:ascii="ＭＳ 明朝" w:eastAsia="ＭＳ 明朝" w:hAnsi="ＭＳ 明朝" w:hint="eastAsia"/>
          <w:sz w:val="21"/>
          <w:szCs w:val="21"/>
        </w:rPr>
        <w:t>こと</w:t>
      </w:r>
      <w:r w:rsidRPr="002C7DE3">
        <w:rPr>
          <w:rFonts w:ascii="ＭＳ 明朝" w:eastAsia="ＭＳ 明朝" w:hAnsi="ＭＳ 明朝"/>
          <w:sz w:val="21"/>
          <w:szCs w:val="21"/>
        </w:rPr>
        <w:t>が含まれ</w:t>
      </w:r>
      <w:r w:rsidR="00F2593B">
        <w:rPr>
          <w:rFonts w:ascii="ＭＳ 明朝" w:eastAsia="ＭＳ 明朝" w:hAnsi="ＭＳ 明朝" w:hint="eastAsia"/>
          <w:sz w:val="21"/>
          <w:szCs w:val="21"/>
        </w:rPr>
        <w:t>ます</w:t>
      </w:r>
      <w:r w:rsidRPr="002C7DE3">
        <w:rPr>
          <w:rFonts w:ascii="ＭＳ 明朝" w:eastAsia="ＭＳ 明朝" w:hAnsi="ＭＳ 明朝"/>
          <w:sz w:val="21"/>
          <w:szCs w:val="21"/>
        </w:rPr>
        <w:t>。</w:t>
      </w:r>
    </w:p>
    <w:p w14:paraId="0B064FB3" w14:textId="3F3F4A2A" w:rsidR="002C7DE3" w:rsidRPr="002C7DE3" w:rsidRDefault="002C7DE3" w:rsidP="002C7DE3">
      <w:pPr>
        <w:pStyle w:val="Web"/>
        <w:ind w:firstLineChars="100" w:firstLine="210"/>
        <w:rPr>
          <w:rFonts w:ascii="ＭＳ 明朝" w:eastAsia="ＭＳ 明朝" w:hAnsi="ＭＳ 明朝"/>
          <w:sz w:val="21"/>
          <w:szCs w:val="21"/>
        </w:rPr>
      </w:pPr>
      <w:r w:rsidRPr="002C7DE3">
        <w:rPr>
          <w:rFonts w:ascii="ＭＳ 明朝" w:eastAsia="ＭＳ 明朝" w:hAnsi="ＭＳ 明朝"/>
          <w:sz w:val="21"/>
          <w:szCs w:val="21"/>
        </w:rPr>
        <w:t>最後に、</w:t>
      </w:r>
      <w:r>
        <w:rPr>
          <w:rFonts w:ascii="ＭＳ 明朝" w:eastAsia="ＭＳ 明朝" w:hAnsi="ＭＳ 明朝"/>
          <w:sz w:val="21"/>
          <w:szCs w:val="21"/>
        </w:rPr>
        <w:t>私たち</w:t>
      </w:r>
      <w:r w:rsidRPr="002C7DE3">
        <w:rPr>
          <w:rFonts w:ascii="ＭＳ 明朝" w:eastAsia="ＭＳ 明朝" w:hAnsi="ＭＳ 明朝"/>
          <w:sz w:val="21"/>
          <w:szCs w:val="21"/>
        </w:rPr>
        <w:t>は各国に対し、高齢者団体代表を国</w:t>
      </w:r>
      <w:r w:rsidR="00E20AA8">
        <w:rPr>
          <w:rFonts w:ascii="ＭＳ 明朝" w:eastAsia="ＭＳ 明朝" w:hAnsi="ＭＳ 明朝" w:hint="eastAsia"/>
          <w:sz w:val="21"/>
          <w:szCs w:val="21"/>
        </w:rPr>
        <w:t>の</w:t>
      </w:r>
      <w:r w:rsidRPr="002C7DE3">
        <w:rPr>
          <w:rFonts w:ascii="ＭＳ 明朝" w:eastAsia="ＭＳ 明朝" w:hAnsi="ＭＳ 明朝"/>
          <w:sz w:val="21"/>
          <w:szCs w:val="21"/>
        </w:rPr>
        <w:t>代表団に含め、実体験が交渉に反映されるよう</w:t>
      </w:r>
      <w:r w:rsidR="00E20AA8">
        <w:rPr>
          <w:rFonts w:ascii="ＭＳ 明朝" w:eastAsia="ＭＳ 明朝" w:hAnsi="ＭＳ 明朝" w:hint="eastAsia"/>
          <w:sz w:val="21"/>
          <w:szCs w:val="21"/>
        </w:rPr>
        <w:t>に</w:t>
      </w:r>
      <w:r w:rsidRPr="002C7DE3">
        <w:rPr>
          <w:rFonts w:ascii="ＭＳ 明朝" w:eastAsia="ＭＳ 明朝" w:hAnsi="ＭＳ 明朝"/>
          <w:sz w:val="21"/>
          <w:szCs w:val="21"/>
        </w:rPr>
        <w:t>することを奨励</w:t>
      </w:r>
      <w:r w:rsidR="00E20AA8">
        <w:rPr>
          <w:rFonts w:ascii="ＭＳ 明朝" w:eastAsia="ＭＳ 明朝" w:hAnsi="ＭＳ 明朝" w:hint="eastAsia"/>
          <w:sz w:val="21"/>
          <w:szCs w:val="21"/>
        </w:rPr>
        <w:t>します</w:t>
      </w:r>
      <w:r w:rsidRPr="002C7DE3">
        <w:rPr>
          <w:rFonts w:ascii="ＭＳ 明朝" w:eastAsia="ＭＳ 明朝" w:hAnsi="ＭＳ 明朝"/>
          <w:sz w:val="21"/>
          <w:szCs w:val="21"/>
        </w:rPr>
        <w:t>。</w:t>
      </w:r>
    </w:p>
    <w:p w14:paraId="0C2C4905" w14:textId="6931EDE8" w:rsidR="002C7DE3" w:rsidRPr="002C7DE3" w:rsidRDefault="002C7DE3" w:rsidP="002C7DE3">
      <w:pPr>
        <w:pStyle w:val="Web"/>
        <w:ind w:firstLineChars="100" w:firstLine="210"/>
        <w:rPr>
          <w:rFonts w:ascii="ＭＳ 明朝" w:eastAsia="ＭＳ 明朝" w:hAnsi="ＭＳ 明朝"/>
          <w:sz w:val="21"/>
          <w:szCs w:val="21"/>
        </w:rPr>
      </w:pPr>
      <w:r>
        <w:rPr>
          <w:rFonts w:ascii="ＭＳ 明朝" w:eastAsia="ＭＳ 明朝" w:hAnsi="ＭＳ 明朝"/>
          <w:sz w:val="21"/>
          <w:szCs w:val="21"/>
        </w:rPr>
        <w:t>私たち</w:t>
      </w:r>
      <w:r w:rsidRPr="002C7DE3">
        <w:rPr>
          <w:rFonts w:ascii="ＭＳ 明朝" w:eastAsia="ＭＳ 明朝" w:hAnsi="ＭＳ 明朝"/>
          <w:sz w:val="21"/>
          <w:szCs w:val="21"/>
        </w:rPr>
        <w:t>はこのプロセスが開放的かつ</w:t>
      </w:r>
      <w:r w:rsidR="00E20AA8">
        <w:rPr>
          <w:rFonts w:ascii="ＭＳ 明朝" w:eastAsia="ＭＳ 明朝" w:hAnsi="ＭＳ 明朝" w:hint="eastAsia"/>
          <w:sz w:val="21"/>
          <w:szCs w:val="21"/>
        </w:rPr>
        <w:t>包摂</w:t>
      </w:r>
      <w:r w:rsidRPr="002C7DE3">
        <w:rPr>
          <w:rFonts w:ascii="ＭＳ 明朝" w:eastAsia="ＭＳ 明朝" w:hAnsi="ＭＳ 明朝"/>
          <w:sz w:val="21"/>
          <w:szCs w:val="21"/>
        </w:rPr>
        <w:t>的なものであり続け、この道のりのあらゆる段階で高齢者が権利の保有者およびパートナーとして認識されることを期待してい</w:t>
      </w:r>
      <w:r w:rsidR="00E20AA8">
        <w:rPr>
          <w:rFonts w:ascii="ＭＳ 明朝" w:eastAsia="ＭＳ 明朝" w:hAnsi="ＭＳ 明朝" w:hint="eastAsia"/>
          <w:sz w:val="21"/>
          <w:szCs w:val="21"/>
        </w:rPr>
        <w:t>ます</w:t>
      </w:r>
      <w:r w:rsidRPr="002C7DE3">
        <w:rPr>
          <w:rFonts w:ascii="ＭＳ 明朝" w:eastAsia="ＭＳ 明朝" w:hAnsi="ＭＳ 明朝"/>
          <w:sz w:val="21"/>
          <w:szCs w:val="21"/>
        </w:rPr>
        <w:t>。</w:t>
      </w:r>
    </w:p>
    <w:p w14:paraId="19F9F7C3" w14:textId="77777777" w:rsidR="002C7DE3" w:rsidRPr="002C7DE3" w:rsidRDefault="002C7DE3" w:rsidP="002C7DE3">
      <w:pPr>
        <w:pStyle w:val="Web"/>
        <w:ind w:firstLineChars="100" w:firstLine="210"/>
        <w:rPr>
          <w:rFonts w:ascii="ＭＳ 明朝" w:eastAsia="ＭＳ 明朝" w:hAnsi="ＭＳ 明朝"/>
          <w:sz w:val="21"/>
          <w:szCs w:val="21"/>
        </w:rPr>
      </w:pPr>
      <w:r w:rsidRPr="002C7DE3">
        <w:rPr>
          <w:rFonts w:ascii="ＭＳ 明朝" w:eastAsia="ＭＳ 明朝" w:hAnsi="ＭＳ 明朝"/>
          <w:sz w:val="21"/>
          <w:szCs w:val="21"/>
        </w:rPr>
        <w:t>ありがとうございました。</w:t>
      </w:r>
    </w:p>
    <w:p w14:paraId="5486AC9D" w14:textId="77777777" w:rsidR="000650ED" w:rsidRDefault="000650ED" w:rsidP="000650ED">
      <w:pPr>
        <w:pStyle w:val="Web"/>
        <w:jc w:val="right"/>
        <w:rPr>
          <w:rFonts w:ascii="ＭＳ 明朝" w:eastAsia="ＭＳ 明朝" w:hAnsi="ＭＳ 明朝"/>
        </w:rPr>
      </w:pPr>
      <w:r w:rsidRPr="001C6C39">
        <w:rPr>
          <w:rFonts w:ascii="ＭＳ 明朝" w:eastAsia="ＭＳ 明朝" w:hAnsi="ＭＳ 明朝" w:hint="eastAsia"/>
        </w:rPr>
        <w:t>（翻訳：佐藤久夫、　　　　）</w:t>
      </w:r>
    </w:p>
    <w:p w14:paraId="2CBAA815" w14:textId="77777777" w:rsidR="002C7DE3" w:rsidRDefault="002C7DE3">
      <w:pPr>
        <w:rPr>
          <w:lang w:eastAsia="ja-JP"/>
        </w:rPr>
      </w:pPr>
    </w:p>
    <w:p w14:paraId="01CEB64E" w14:textId="77777777" w:rsidR="002C7DE3" w:rsidRDefault="002C7DE3" w:rsidP="002C7DE3">
      <w:pPr>
        <w:pStyle w:val="aa"/>
        <w:spacing w:line="256" w:lineRule="auto"/>
        <w:ind w:right="17" w:firstLine="9"/>
        <w:jc w:val="center"/>
      </w:pPr>
      <w:r>
        <w:rPr>
          <w:w w:val="105"/>
        </w:rPr>
        <w:t xml:space="preserve">AMNESTY INTERNATIONAL STATEMENT TO THE OPEN-ENDED INTERGOVERNMENTAL </w:t>
      </w:r>
      <w:r>
        <w:rPr>
          <w:spacing w:val="-2"/>
          <w:w w:val="105"/>
        </w:rPr>
        <w:t>WORKING</w:t>
      </w:r>
      <w:r>
        <w:rPr>
          <w:spacing w:val="-28"/>
          <w:w w:val="105"/>
        </w:rPr>
        <w:t xml:space="preserve"> </w:t>
      </w:r>
      <w:r>
        <w:rPr>
          <w:spacing w:val="-2"/>
          <w:w w:val="105"/>
        </w:rPr>
        <w:t>GROUP</w:t>
      </w:r>
      <w:r>
        <w:rPr>
          <w:spacing w:val="-16"/>
          <w:w w:val="105"/>
        </w:rPr>
        <w:t xml:space="preserve"> </w:t>
      </w:r>
      <w:r>
        <w:rPr>
          <w:spacing w:val="-2"/>
          <w:w w:val="105"/>
        </w:rPr>
        <w:t>(IGWG)</w:t>
      </w:r>
      <w:r>
        <w:rPr>
          <w:spacing w:val="-16"/>
          <w:w w:val="105"/>
        </w:rPr>
        <w:t xml:space="preserve"> </w:t>
      </w:r>
      <w:r>
        <w:rPr>
          <w:spacing w:val="-2"/>
          <w:w w:val="105"/>
        </w:rPr>
        <w:t>FOR</w:t>
      </w:r>
      <w:r>
        <w:rPr>
          <w:spacing w:val="-16"/>
          <w:w w:val="105"/>
        </w:rPr>
        <w:t xml:space="preserve"> </w:t>
      </w:r>
      <w:r>
        <w:rPr>
          <w:spacing w:val="-2"/>
          <w:w w:val="105"/>
        </w:rPr>
        <w:t>THE</w:t>
      </w:r>
      <w:r>
        <w:rPr>
          <w:spacing w:val="-16"/>
          <w:w w:val="105"/>
        </w:rPr>
        <w:t xml:space="preserve"> </w:t>
      </w:r>
      <w:r>
        <w:rPr>
          <w:spacing w:val="-2"/>
          <w:w w:val="105"/>
        </w:rPr>
        <w:t>ELABORATION</w:t>
      </w:r>
      <w:r>
        <w:rPr>
          <w:spacing w:val="-26"/>
          <w:w w:val="105"/>
        </w:rPr>
        <w:t xml:space="preserve"> </w:t>
      </w:r>
      <w:r>
        <w:rPr>
          <w:spacing w:val="-2"/>
          <w:w w:val="105"/>
        </w:rPr>
        <w:t>OF</w:t>
      </w:r>
      <w:r>
        <w:rPr>
          <w:spacing w:val="-17"/>
          <w:w w:val="105"/>
        </w:rPr>
        <w:t xml:space="preserve"> </w:t>
      </w:r>
      <w:r>
        <w:rPr>
          <w:spacing w:val="-2"/>
          <w:w w:val="105"/>
        </w:rPr>
        <w:t>A</w:t>
      </w:r>
      <w:r>
        <w:rPr>
          <w:spacing w:val="-16"/>
          <w:w w:val="105"/>
        </w:rPr>
        <w:t xml:space="preserve"> </w:t>
      </w:r>
      <w:r>
        <w:rPr>
          <w:spacing w:val="-2"/>
          <w:w w:val="105"/>
        </w:rPr>
        <w:t>LEGALLY</w:t>
      </w:r>
      <w:r>
        <w:rPr>
          <w:spacing w:val="-12"/>
          <w:w w:val="105"/>
        </w:rPr>
        <w:t xml:space="preserve"> </w:t>
      </w:r>
      <w:r>
        <w:rPr>
          <w:spacing w:val="-2"/>
          <w:w w:val="105"/>
        </w:rPr>
        <w:t>BINDING</w:t>
      </w:r>
      <w:r>
        <w:rPr>
          <w:spacing w:val="-3"/>
          <w:w w:val="105"/>
        </w:rPr>
        <w:t xml:space="preserve"> </w:t>
      </w:r>
      <w:r>
        <w:rPr>
          <w:spacing w:val="-2"/>
          <w:w w:val="105"/>
        </w:rPr>
        <w:t xml:space="preserve">INSTRUMENT </w:t>
      </w:r>
      <w:r>
        <w:rPr>
          <w:w w:val="105"/>
        </w:rPr>
        <w:t>ON THE PROMOTION AND PROTECTION OF THE HUMAN RIGHTS OF OLDER PERSONS</w:t>
      </w:r>
    </w:p>
    <w:p w14:paraId="72346E8D" w14:textId="77777777" w:rsidR="002C7DE3" w:rsidRDefault="002C7DE3" w:rsidP="002C7DE3">
      <w:pPr>
        <w:pStyle w:val="aa"/>
        <w:spacing w:before="169"/>
        <w:ind w:left="3"/>
        <w:jc w:val="center"/>
      </w:pPr>
      <w:r>
        <w:lastRenderedPageBreak/>
        <w:t>Check</w:t>
      </w:r>
      <w:r>
        <w:rPr>
          <w:spacing w:val="31"/>
        </w:rPr>
        <w:t xml:space="preserve"> </w:t>
      </w:r>
      <w:r>
        <w:t>against</w:t>
      </w:r>
      <w:r>
        <w:rPr>
          <w:spacing w:val="22"/>
        </w:rPr>
        <w:t xml:space="preserve"> </w:t>
      </w:r>
      <w:r>
        <w:rPr>
          <w:spacing w:val="-2"/>
        </w:rPr>
        <w:t>delivery</w:t>
      </w:r>
    </w:p>
    <w:p w14:paraId="60821B79" w14:textId="77777777" w:rsidR="002C7DE3" w:rsidRDefault="002C7DE3" w:rsidP="002C7DE3">
      <w:pPr>
        <w:pStyle w:val="aa"/>
        <w:ind w:left="0"/>
      </w:pPr>
    </w:p>
    <w:p w14:paraId="7A64D249" w14:textId="77777777" w:rsidR="002C7DE3" w:rsidRDefault="002C7DE3" w:rsidP="002C7DE3">
      <w:pPr>
        <w:pStyle w:val="aa"/>
        <w:spacing w:before="104"/>
        <w:ind w:left="0"/>
      </w:pPr>
    </w:p>
    <w:p w14:paraId="08E438DA" w14:textId="77777777" w:rsidR="002C7DE3" w:rsidRDefault="002C7DE3" w:rsidP="002C7DE3">
      <w:pPr>
        <w:pStyle w:val="aa"/>
      </w:pPr>
      <w:r>
        <w:t>Distinguished</w:t>
      </w:r>
      <w:r>
        <w:rPr>
          <w:spacing w:val="17"/>
        </w:rPr>
        <w:t xml:space="preserve"> </w:t>
      </w:r>
      <w:r>
        <w:t>Chairperson,</w:t>
      </w:r>
      <w:r>
        <w:rPr>
          <w:spacing w:val="33"/>
        </w:rPr>
        <w:t xml:space="preserve"> </w:t>
      </w:r>
      <w:r>
        <w:t>Distinguished</w:t>
      </w:r>
      <w:r>
        <w:rPr>
          <w:spacing w:val="18"/>
        </w:rPr>
        <w:t xml:space="preserve"> </w:t>
      </w:r>
      <w:r>
        <w:rPr>
          <w:spacing w:val="-2"/>
        </w:rPr>
        <w:t>Delegates,</w:t>
      </w:r>
    </w:p>
    <w:p w14:paraId="3665C043" w14:textId="77777777" w:rsidR="002C7DE3" w:rsidRDefault="002C7DE3" w:rsidP="002C7DE3">
      <w:pPr>
        <w:pStyle w:val="aa"/>
        <w:spacing w:before="170" w:line="264" w:lineRule="auto"/>
      </w:pPr>
      <w:r>
        <w:t>Amnesty</w:t>
      </w:r>
      <w:r>
        <w:rPr>
          <w:spacing w:val="-14"/>
        </w:rPr>
        <w:t xml:space="preserve"> </w:t>
      </w:r>
      <w:r>
        <w:t>International</w:t>
      </w:r>
      <w:r>
        <w:rPr>
          <w:spacing w:val="-17"/>
        </w:rPr>
        <w:t xml:space="preserve"> </w:t>
      </w:r>
      <w:r>
        <w:t>welcomes</w:t>
      </w:r>
      <w:r>
        <w:rPr>
          <w:spacing w:val="-31"/>
        </w:rPr>
        <w:t xml:space="preserve"> </w:t>
      </w:r>
      <w:r>
        <w:t>the</w:t>
      </w:r>
      <w:r>
        <w:rPr>
          <w:spacing w:val="-12"/>
        </w:rPr>
        <w:t xml:space="preserve"> </w:t>
      </w:r>
      <w:r>
        <w:t>opening</w:t>
      </w:r>
      <w:r>
        <w:rPr>
          <w:spacing w:val="-12"/>
        </w:rPr>
        <w:t xml:space="preserve"> </w:t>
      </w:r>
      <w:r>
        <w:t>of</w:t>
      </w:r>
      <w:r>
        <w:rPr>
          <w:spacing w:val="-19"/>
        </w:rPr>
        <w:t xml:space="preserve"> </w:t>
      </w:r>
      <w:r>
        <w:t>this first session and recognize this Working Group as a historic opportunity to move beyond documenting violations toward closing protection gaps in the international human rights system.</w:t>
      </w:r>
    </w:p>
    <w:p w14:paraId="788DA599" w14:textId="77777777" w:rsidR="002C7DE3" w:rsidRDefault="002C7DE3" w:rsidP="002C7DE3">
      <w:pPr>
        <w:pStyle w:val="aa"/>
        <w:spacing w:before="145" w:line="261" w:lineRule="auto"/>
      </w:pPr>
      <w:r>
        <w:rPr>
          <w:w w:val="105"/>
        </w:rPr>
        <w:t>We</w:t>
      </w:r>
      <w:r>
        <w:rPr>
          <w:spacing w:val="-12"/>
          <w:w w:val="105"/>
        </w:rPr>
        <w:t xml:space="preserve"> </w:t>
      </w:r>
      <w:r>
        <w:rPr>
          <w:w w:val="105"/>
        </w:rPr>
        <w:t>stress</w:t>
      </w:r>
      <w:r>
        <w:rPr>
          <w:spacing w:val="-12"/>
          <w:w w:val="105"/>
        </w:rPr>
        <w:t xml:space="preserve"> </w:t>
      </w:r>
      <w:r>
        <w:rPr>
          <w:w w:val="105"/>
        </w:rPr>
        <w:t>the</w:t>
      </w:r>
      <w:r>
        <w:rPr>
          <w:spacing w:val="-12"/>
          <w:w w:val="105"/>
        </w:rPr>
        <w:t xml:space="preserve"> </w:t>
      </w:r>
      <w:r>
        <w:rPr>
          <w:w w:val="105"/>
        </w:rPr>
        <w:t>importance</w:t>
      </w:r>
      <w:r>
        <w:rPr>
          <w:spacing w:val="-12"/>
          <w:w w:val="105"/>
        </w:rPr>
        <w:t xml:space="preserve"> </w:t>
      </w:r>
      <w:r>
        <w:rPr>
          <w:w w:val="105"/>
        </w:rPr>
        <w:t>of</w:t>
      </w:r>
      <w:r>
        <w:rPr>
          <w:spacing w:val="-17"/>
          <w:w w:val="105"/>
        </w:rPr>
        <w:t xml:space="preserve"> </w:t>
      </w:r>
      <w:r>
        <w:rPr>
          <w:w w:val="105"/>
        </w:rPr>
        <w:t>fully</w:t>
      </w:r>
      <w:r>
        <w:rPr>
          <w:spacing w:val="-14"/>
          <w:w w:val="105"/>
        </w:rPr>
        <w:t xml:space="preserve"> </w:t>
      </w:r>
      <w:r>
        <w:rPr>
          <w:w w:val="105"/>
        </w:rPr>
        <w:t>implementing</w:t>
      </w:r>
      <w:r>
        <w:rPr>
          <w:spacing w:val="-12"/>
          <w:w w:val="105"/>
        </w:rPr>
        <w:t xml:space="preserve"> </w:t>
      </w:r>
      <w:r>
        <w:rPr>
          <w:w w:val="105"/>
        </w:rPr>
        <w:t>the</w:t>
      </w:r>
      <w:r>
        <w:rPr>
          <w:spacing w:val="-12"/>
          <w:w w:val="105"/>
        </w:rPr>
        <w:t xml:space="preserve"> </w:t>
      </w:r>
      <w:r>
        <w:rPr>
          <w:w w:val="105"/>
        </w:rPr>
        <w:t>principle</w:t>
      </w:r>
      <w:r>
        <w:rPr>
          <w:spacing w:val="-12"/>
          <w:w w:val="105"/>
        </w:rPr>
        <w:t xml:space="preserve"> </w:t>
      </w:r>
      <w:r>
        <w:rPr>
          <w:w w:val="105"/>
        </w:rPr>
        <w:t>of</w:t>
      </w:r>
      <w:r>
        <w:rPr>
          <w:spacing w:val="-17"/>
          <w:w w:val="105"/>
        </w:rPr>
        <w:t xml:space="preserve"> </w:t>
      </w:r>
      <w:r>
        <w:rPr>
          <w:w w:val="105"/>
        </w:rPr>
        <w:t>“Nothing</w:t>
      </w:r>
      <w:r>
        <w:rPr>
          <w:spacing w:val="-12"/>
          <w:w w:val="105"/>
        </w:rPr>
        <w:t xml:space="preserve"> </w:t>
      </w:r>
      <w:r>
        <w:rPr>
          <w:w w:val="105"/>
        </w:rPr>
        <w:t>about</w:t>
      </w:r>
      <w:r>
        <w:rPr>
          <w:spacing w:val="-17"/>
          <w:w w:val="105"/>
        </w:rPr>
        <w:t xml:space="preserve"> </w:t>
      </w:r>
      <w:r>
        <w:rPr>
          <w:w w:val="105"/>
        </w:rPr>
        <w:t>us</w:t>
      </w:r>
      <w:r>
        <w:rPr>
          <w:spacing w:val="-14"/>
          <w:w w:val="105"/>
        </w:rPr>
        <w:t xml:space="preserve"> </w:t>
      </w:r>
      <w:r>
        <w:rPr>
          <w:w w:val="105"/>
        </w:rPr>
        <w:t xml:space="preserve">without </w:t>
      </w:r>
      <w:r>
        <w:t>us”</w:t>
      </w:r>
      <w:r>
        <w:rPr>
          <w:spacing w:val="-10"/>
        </w:rPr>
        <w:t xml:space="preserve"> </w:t>
      </w:r>
      <w:r>
        <w:t>as this process</w:t>
      </w:r>
      <w:r>
        <w:rPr>
          <w:spacing w:val="-12"/>
        </w:rPr>
        <w:t xml:space="preserve"> </w:t>
      </w:r>
      <w:r>
        <w:t>advances.</w:t>
      </w:r>
      <w:r>
        <w:rPr>
          <w:spacing w:val="-3"/>
        </w:rPr>
        <w:t xml:space="preserve"> </w:t>
      </w:r>
      <w:r>
        <w:t>While</w:t>
      </w:r>
      <w:r>
        <w:rPr>
          <w:spacing w:val="-10"/>
        </w:rPr>
        <w:t xml:space="preserve"> </w:t>
      </w:r>
      <w:r>
        <w:t>we</w:t>
      </w:r>
      <w:r>
        <w:rPr>
          <w:spacing w:val="-10"/>
        </w:rPr>
        <w:t xml:space="preserve"> </w:t>
      </w:r>
      <w:r>
        <w:t xml:space="preserve">appreciate the participation granted to non-ECOSOC </w:t>
      </w:r>
      <w:r>
        <w:rPr>
          <w:w w:val="105"/>
        </w:rPr>
        <w:t>accredited</w:t>
      </w:r>
      <w:r>
        <w:rPr>
          <w:spacing w:val="-8"/>
          <w:w w:val="105"/>
        </w:rPr>
        <w:t xml:space="preserve"> </w:t>
      </w:r>
      <w:r>
        <w:rPr>
          <w:w w:val="105"/>
        </w:rPr>
        <w:t>NGOs during this session, meaningful</w:t>
      </w:r>
      <w:r>
        <w:rPr>
          <w:spacing w:val="-5"/>
          <w:w w:val="105"/>
        </w:rPr>
        <w:t xml:space="preserve"> </w:t>
      </w:r>
      <w:r>
        <w:rPr>
          <w:w w:val="105"/>
        </w:rPr>
        <w:t>involvement</w:t>
      </w:r>
      <w:r>
        <w:rPr>
          <w:spacing w:val="-2"/>
          <w:w w:val="105"/>
        </w:rPr>
        <w:t xml:space="preserve"> </w:t>
      </w:r>
      <w:r>
        <w:rPr>
          <w:w w:val="105"/>
        </w:rPr>
        <w:t>of</w:t>
      </w:r>
      <w:r>
        <w:rPr>
          <w:spacing w:val="-2"/>
          <w:w w:val="105"/>
        </w:rPr>
        <w:t xml:space="preserve"> </w:t>
      </w:r>
      <w:r>
        <w:rPr>
          <w:w w:val="105"/>
        </w:rPr>
        <w:t>older</w:t>
      </w:r>
      <w:r>
        <w:rPr>
          <w:spacing w:val="-2"/>
          <w:w w:val="105"/>
        </w:rPr>
        <w:t xml:space="preserve"> </w:t>
      </w:r>
      <w:r>
        <w:rPr>
          <w:w w:val="105"/>
        </w:rPr>
        <w:t>persons and</w:t>
      </w:r>
      <w:r>
        <w:rPr>
          <w:spacing w:val="-8"/>
          <w:w w:val="105"/>
        </w:rPr>
        <w:t xml:space="preserve"> </w:t>
      </w:r>
      <w:r>
        <w:rPr>
          <w:w w:val="105"/>
        </w:rPr>
        <w:t>civil society</w:t>
      </w:r>
      <w:r>
        <w:rPr>
          <w:spacing w:val="-3"/>
          <w:w w:val="105"/>
        </w:rPr>
        <w:t xml:space="preserve"> </w:t>
      </w:r>
      <w:r>
        <w:rPr>
          <w:w w:val="105"/>
        </w:rPr>
        <w:t>must</w:t>
      </w:r>
      <w:r>
        <w:rPr>
          <w:spacing w:val="-7"/>
          <w:w w:val="105"/>
        </w:rPr>
        <w:t xml:space="preserve"> </w:t>
      </w:r>
      <w:r>
        <w:rPr>
          <w:w w:val="105"/>
        </w:rPr>
        <w:t>remain</w:t>
      </w:r>
      <w:r>
        <w:rPr>
          <w:spacing w:val="-12"/>
          <w:w w:val="105"/>
        </w:rPr>
        <w:t xml:space="preserve"> </w:t>
      </w:r>
      <w:r>
        <w:rPr>
          <w:w w:val="105"/>
        </w:rPr>
        <w:t>a</w:t>
      </w:r>
      <w:r>
        <w:rPr>
          <w:spacing w:val="-1"/>
          <w:w w:val="105"/>
        </w:rPr>
        <w:t xml:space="preserve"> </w:t>
      </w:r>
      <w:r>
        <w:rPr>
          <w:w w:val="105"/>
        </w:rPr>
        <w:t>permanent</w:t>
      </w:r>
      <w:r>
        <w:rPr>
          <w:spacing w:val="-7"/>
          <w:w w:val="105"/>
        </w:rPr>
        <w:t xml:space="preserve"> </w:t>
      </w:r>
      <w:r>
        <w:rPr>
          <w:w w:val="105"/>
        </w:rPr>
        <w:t>feature</w:t>
      </w:r>
      <w:r>
        <w:rPr>
          <w:spacing w:val="-1"/>
          <w:w w:val="105"/>
        </w:rPr>
        <w:t xml:space="preserve"> </w:t>
      </w:r>
      <w:r>
        <w:rPr>
          <w:w w:val="105"/>
        </w:rPr>
        <w:t>of</w:t>
      </w:r>
      <w:r>
        <w:rPr>
          <w:spacing w:val="-7"/>
          <w:w w:val="105"/>
        </w:rPr>
        <w:t xml:space="preserve"> </w:t>
      </w:r>
      <w:r>
        <w:rPr>
          <w:w w:val="105"/>
        </w:rPr>
        <w:t>the</w:t>
      </w:r>
      <w:r>
        <w:rPr>
          <w:spacing w:val="-1"/>
          <w:w w:val="105"/>
        </w:rPr>
        <w:t xml:space="preserve"> </w:t>
      </w:r>
      <w:r>
        <w:rPr>
          <w:w w:val="105"/>
        </w:rPr>
        <w:t>entire</w:t>
      </w:r>
      <w:r>
        <w:rPr>
          <w:spacing w:val="-1"/>
          <w:w w:val="105"/>
        </w:rPr>
        <w:t xml:space="preserve"> </w:t>
      </w:r>
      <w:r>
        <w:rPr>
          <w:w w:val="105"/>
        </w:rPr>
        <w:t>drafting</w:t>
      </w:r>
      <w:r>
        <w:rPr>
          <w:spacing w:val="-1"/>
          <w:w w:val="105"/>
        </w:rPr>
        <w:t xml:space="preserve"> </w:t>
      </w:r>
      <w:r>
        <w:rPr>
          <w:w w:val="105"/>
        </w:rPr>
        <w:t>process.</w:t>
      </w:r>
    </w:p>
    <w:p w14:paraId="6D16E7EC" w14:textId="77777777" w:rsidR="002C7DE3" w:rsidRDefault="002C7DE3" w:rsidP="002C7DE3">
      <w:pPr>
        <w:pStyle w:val="aa"/>
        <w:spacing w:before="148" w:line="264" w:lineRule="auto"/>
      </w:pPr>
      <w:r>
        <w:t>First, civil society and older persons must be able to participate directly throughout the</w:t>
      </w:r>
      <w:r>
        <w:rPr>
          <w:spacing w:val="40"/>
        </w:rPr>
        <w:t xml:space="preserve"> </w:t>
      </w:r>
      <w:r>
        <w:t>process, including attending formal and informal meetings, delivering oral statements, receiving</w:t>
      </w:r>
      <w:r>
        <w:rPr>
          <w:spacing w:val="40"/>
        </w:rPr>
        <w:t xml:space="preserve"> </w:t>
      </w:r>
      <w:r>
        <w:t>documentation in a</w:t>
      </w:r>
      <w:r>
        <w:rPr>
          <w:spacing w:val="40"/>
        </w:rPr>
        <w:t xml:space="preserve"> </w:t>
      </w:r>
      <w:r>
        <w:t>timely manner, and submitting</w:t>
      </w:r>
      <w:r>
        <w:rPr>
          <w:spacing w:val="40"/>
        </w:rPr>
        <w:t xml:space="preserve"> </w:t>
      </w:r>
      <w:r>
        <w:t>written contributions.</w:t>
      </w:r>
    </w:p>
    <w:p w14:paraId="22CC46FE" w14:textId="77777777" w:rsidR="002C7DE3" w:rsidRDefault="002C7DE3" w:rsidP="002C7DE3">
      <w:pPr>
        <w:pStyle w:val="aa"/>
        <w:spacing w:before="144" w:line="264" w:lineRule="auto"/>
      </w:pPr>
      <w:r>
        <w:rPr>
          <w:w w:val="105"/>
        </w:rPr>
        <w:t>Second, future sessions</w:t>
      </w:r>
      <w:r>
        <w:rPr>
          <w:spacing w:val="-1"/>
          <w:w w:val="105"/>
        </w:rPr>
        <w:t xml:space="preserve"> </w:t>
      </w:r>
      <w:r>
        <w:rPr>
          <w:w w:val="105"/>
        </w:rPr>
        <w:t>should</w:t>
      </w:r>
      <w:r>
        <w:rPr>
          <w:spacing w:val="-10"/>
          <w:w w:val="105"/>
        </w:rPr>
        <w:t xml:space="preserve"> </w:t>
      </w:r>
      <w:r>
        <w:rPr>
          <w:w w:val="105"/>
        </w:rPr>
        <w:t>adopt</w:t>
      </w:r>
      <w:r>
        <w:rPr>
          <w:spacing w:val="-5"/>
          <w:w w:val="105"/>
        </w:rPr>
        <w:t xml:space="preserve"> </w:t>
      </w:r>
      <w:r>
        <w:rPr>
          <w:w w:val="105"/>
        </w:rPr>
        <w:t>hybrid</w:t>
      </w:r>
      <w:r>
        <w:rPr>
          <w:spacing w:val="-10"/>
          <w:w w:val="105"/>
        </w:rPr>
        <w:t xml:space="preserve"> </w:t>
      </w:r>
      <w:r>
        <w:rPr>
          <w:w w:val="105"/>
        </w:rPr>
        <w:t>modalities</w:t>
      </w:r>
      <w:r>
        <w:rPr>
          <w:spacing w:val="-1"/>
          <w:w w:val="105"/>
        </w:rPr>
        <w:t xml:space="preserve"> </w:t>
      </w:r>
      <w:r>
        <w:rPr>
          <w:w w:val="105"/>
        </w:rPr>
        <w:t>to ensure inclusive and</w:t>
      </w:r>
      <w:r>
        <w:rPr>
          <w:spacing w:val="-9"/>
          <w:w w:val="105"/>
        </w:rPr>
        <w:t xml:space="preserve"> </w:t>
      </w:r>
      <w:r>
        <w:rPr>
          <w:w w:val="105"/>
        </w:rPr>
        <w:t xml:space="preserve">equal </w:t>
      </w:r>
      <w:r>
        <w:t>participation</w:t>
      </w:r>
      <w:r>
        <w:rPr>
          <w:spacing w:val="-21"/>
        </w:rPr>
        <w:t xml:space="preserve"> </w:t>
      </w:r>
      <w:r>
        <w:t>through</w:t>
      </w:r>
      <w:r>
        <w:rPr>
          <w:spacing w:val="-21"/>
        </w:rPr>
        <w:t xml:space="preserve"> </w:t>
      </w:r>
      <w:r>
        <w:t>live</w:t>
      </w:r>
      <w:r>
        <w:rPr>
          <w:spacing w:val="-6"/>
        </w:rPr>
        <w:t xml:space="preserve"> </w:t>
      </w:r>
      <w:r>
        <w:t>online interventions</w:t>
      </w:r>
      <w:r>
        <w:rPr>
          <w:spacing w:val="-5"/>
        </w:rPr>
        <w:t xml:space="preserve"> </w:t>
      </w:r>
      <w:r>
        <w:t>and</w:t>
      </w:r>
      <w:r>
        <w:rPr>
          <w:spacing w:val="-21"/>
        </w:rPr>
        <w:t xml:space="preserve"> </w:t>
      </w:r>
      <w:r>
        <w:t xml:space="preserve">webcasting. This is critical to prevent this </w:t>
      </w:r>
      <w:r>
        <w:rPr>
          <w:w w:val="105"/>
        </w:rPr>
        <w:t>process from</w:t>
      </w:r>
      <w:r>
        <w:rPr>
          <w:spacing w:val="-11"/>
          <w:w w:val="105"/>
        </w:rPr>
        <w:t xml:space="preserve"> </w:t>
      </w:r>
      <w:r>
        <w:rPr>
          <w:w w:val="105"/>
        </w:rPr>
        <w:t>systematically excluding the very people it</w:t>
      </w:r>
      <w:r>
        <w:rPr>
          <w:spacing w:val="-3"/>
          <w:w w:val="105"/>
        </w:rPr>
        <w:t xml:space="preserve"> </w:t>
      </w:r>
      <w:r>
        <w:rPr>
          <w:w w:val="105"/>
        </w:rPr>
        <w:t>is meant</w:t>
      </w:r>
      <w:r>
        <w:rPr>
          <w:spacing w:val="-3"/>
          <w:w w:val="105"/>
        </w:rPr>
        <w:t xml:space="preserve"> </w:t>
      </w:r>
      <w:r>
        <w:rPr>
          <w:w w:val="105"/>
        </w:rPr>
        <w:t>to protect.</w:t>
      </w:r>
    </w:p>
    <w:p w14:paraId="11CC344D" w14:textId="77777777" w:rsidR="002C7DE3" w:rsidRDefault="002C7DE3" w:rsidP="002C7DE3">
      <w:pPr>
        <w:pStyle w:val="aa"/>
        <w:spacing w:before="145" w:line="256" w:lineRule="auto"/>
      </w:pPr>
      <w:r>
        <w:t>Third, transparency</w:t>
      </w:r>
      <w:r>
        <w:rPr>
          <w:spacing w:val="-5"/>
        </w:rPr>
        <w:t xml:space="preserve"> </w:t>
      </w:r>
      <w:r>
        <w:t>and</w:t>
      </w:r>
      <w:r>
        <w:rPr>
          <w:spacing w:val="-18"/>
        </w:rPr>
        <w:t xml:space="preserve"> </w:t>
      </w:r>
      <w:r>
        <w:t>accessibility</w:t>
      </w:r>
      <w:r>
        <w:rPr>
          <w:spacing w:val="-5"/>
        </w:rPr>
        <w:t xml:space="preserve"> </w:t>
      </w:r>
      <w:r>
        <w:t>are</w:t>
      </w:r>
      <w:r>
        <w:rPr>
          <w:spacing w:val="-3"/>
        </w:rPr>
        <w:t xml:space="preserve"> </w:t>
      </w:r>
      <w:r>
        <w:t>essential,</w:t>
      </w:r>
      <w:r>
        <w:rPr>
          <w:spacing w:val="-4"/>
        </w:rPr>
        <w:t xml:space="preserve"> </w:t>
      </w:r>
      <w:r>
        <w:t>including for</w:t>
      </w:r>
      <w:r>
        <w:rPr>
          <w:spacing w:val="-12"/>
        </w:rPr>
        <w:t xml:space="preserve"> </w:t>
      </w:r>
      <w:r>
        <w:t>all consultations that enable full participation of older persons,</w:t>
      </w:r>
      <w:r>
        <w:rPr>
          <w:spacing w:val="40"/>
        </w:rPr>
        <w:t xml:space="preserve"> </w:t>
      </w:r>
      <w:r>
        <w:t>particularly</w:t>
      </w:r>
      <w:r>
        <w:rPr>
          <w:spacing w:val="40"/>
        </w:rPr>
        <w:t xml:space="preserve"> </w:t>
      </w:r>
      <w:r>
        <w:t>those</w:t>
      </w:r>
      <w:r>
        <w:rPr>
          <w:spacing w:val="40"/>
        </w:rPr>
        <w:t xml:space="preserve"> </w:t>
      </w:r>
      <w:r>
        <w:t>with disabilities,</w:t>
      </w:r>
      <w:r>
        <w:rPr>
          <w:spacing w:val="40"/>
        </w:rPr>
        <w:t xml:space="preserve"> </w:t>
      </w:r>
      <w:r>
        <w:t>through accessible information and reasonable accommodation where required.</w:t>
      </w:r>
    </w:p>
    <w:p w14:paraId="61FF2006" w14:textId="77777777" w:rsidR="002C7DE3" w:rsidRDefault="002C7DE3" w:rsidP="002C7DE3">
      <w:pPr>
        <w:pStyle w:val="aa"/>
        <w:spacing w:before="169" w:line="256" w:lineRule="auto"/>
      </w:pPr>
      <w:r>
        <w:t>Finally, we encourage States to include representatives of older persons’ organizations in</w:t>
      </w:r>
      <w:r>
        <w:rPr>
          <w:spacing w:val="40"/>
        </w:rPr>
        <w:t xml:space="preserve"> </w:t>
      </w:r>
      <w:r>
        <w:t>national delegations, ensuring lived experience informs negotiations.</w:t>
      </w:r>
    </w:p>
    <w:p w14:paraId="137C6CE9" w14:textId="77777777" w:rsidR="002C7DE3" w:rsidRDefault="002C7DE3" w:rsidP="002C7DE3">
      <w:pPr>
        <w:pStyle w:val="aa"/>
        <w:spacing w:before="167" w:line="256" w:lineRule="auto"/>
      </w:pPr>
      <w:r>
        <w:t>We</w:t>
      </w:r>
      <w:r>
        <w:rPr>
          <w:spacing w:val="-14"/>
        </w:rPr>
        <w:t xml:space="preserve"> </w:t>
      </w:r>
      <w:r>
        <w:t>look</w:t>
      </w:r>
      <w:r>
        <w:rPr>
          <w:spacing w:val="-14"/>
        </w:rPr>
        <w:t xml:space="preserve"> </w:t>
      </w:r>
      <w:r>
        <w:t>forward</w:t>
      </w:r>
      <w:r>
        <w:rPr>
          <w:spacing w:val="-27"/>
        </w:rPr>
        <w:t xml:space="preserve"> </w:t>
      </w:r>
      <w:r>
        <w:t>to a</w:t>
      </w:r>
      <w:r>
        <w:rPr>
          <w:spacing w:val="-14"/>
        </w:rPr>
        <w:t xml:space="preserve"> </w:t>
      </w:r>
      <w:r>
        <w:t>process</w:t>
      </w:r>
      <w:r>
        <w:rPr>
          <w:spacing w:val="-16"/>
        </w:rPr>
        <w:t xml:space="preserve"> </w:t>
      </w:r>
      <w:r>
        <w:t>that</w:t>
      </w:r>
      <w:r>
        <w:rPr>
          <w:spacing w:val="-22"/>
        </w:rPr>
        <w:t xml:space="preserve"> </w:t>
      </w:r>
      <w:r>
        <w:t>remains</w:t>
      </w:r>
      <w:r>
        <w:rPr>
          <w:spacing w:val="-16"/>
        </w:rPr>
        <w:t xml:space="preserve"> </w:t>
      </w:r>
      <w:r>
        <w:t>open</w:t>
      </w:r>
      <w:r>
        <w:rPr>
          <w:spacing w:val="-27"/>
        </w:rPr>
        <w:t xml:space="preserve"> </w:t>
      </w:r>
      <w:r>
        <w:t>and</w:t>
      </w:r>
      <w:r>
        <w:rPr>
          <w:spacing w:val="-11"/>
        </w:rPr>
        <w:t xml:space="preserve"> </w:t>
      </w:r>
      <w:r>
        <w:t>inclusive,</w:t>
      </w:r>
      <w:r>
        <w:rPr>
          <w:spacing w:val="-15"/>
        </w:rPr>
        <w:t xml:space="preserve"> </w:t>
      </w:r>
      <w:r>
        <w:t>ensuring</w:t>
      </w:r>
      <w:r>
        <w:rPr>
          <w:spacing w:val="-14"/>
        </w:rPr>
        <w:t xml:space="preserve"> </w:t>
      </w:r>
      <w:r>
        <w:t>that</w:t>
      </w:r>
      <w:r>
        <w:rPr>
          <w:spacing w:val="-22"/>
        </w:rPr>
        <w:t xml:space="preserve"> </w:t>
      </w:r>
      <w:r>
        <w:t>older</w:t>
      </w:r>
      <w:r>
        <w:rPr>
          <w:spacing w:val="-6"/>
        </w:rPr>
        <w:t xml:space="preserve"> </w:t>
      </w:r>
      <w:r>
        <w:t>persons</w:t>
      </w:r>
      <w:r>
        <w:rPr>
          <w:spacing w:val="-16"/>
        </w:rPr>
        <w:t xml:space="preserve"> </w:t>
      </w:r>
      <w:r>
        <w:t>are recognized as rights-holders and partners at every stage of this journey.</w:t>
      </w:r>
    </w:p>
    <w:p w14:paraId="276ADB3F" w14:textId="77777777" w:rsidR="002C7DE3" w:rsidRDefault="002C7DE3" w:rsidP="002C7DE3">
      <w:pPr>
        <w:pStyle w:val="aa"/>
        <w:spacing w:before="167"/>
      </w:pPr>
      <w:r>
        <w:t>Thank</w:t>
      </w:r>
      <w:r>
        <w:rPr>
          <w:spacing w:val="-1"/>
        </w:rPr>
        <w:t xml:space="preserve"> </w:t>
      </w:r>
      <w:r>
        <w:rPr>
          <w:spacing w:val="-4"/>
        </w:rPr>
        <w:t>you.</w:t>
      </w:r>
    </w:p>
    <w:p w14:paraId="1372A2E0" w14:textId="77777777" w:rsidR="002C7DE3" w:rsidRDefault="002C7DE3">
      <w:pPr>
        <w:rPr>
          <w:lang w:eastAsia="ja-JP"/>
        </w:rPr>
      </w:pPr>
    </w:p>
    <w:sectPr w:rsidR="002C7DE3" w:rsidSect="006A05DC">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0FA9" w14:textId="77777777" w:rsidR="005E6B44" w:rsidRDefault="005E6B44" w:rsidP="005E6B44">
      <w:r>
        <w:separator/>
      </w:r>
    </w:p>
  </w:endnote>
  <w:endnote w:type="continuationSeparator" w:id="0">
    <w:p w14:paraId="057BE954" w14:textId="77777777" w:rsidR="005E6B44" w:rsidRDefault="005E6B44" w:rsidP="005E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F5BC" w14:textId="77777777" w:rsidR="005E6B44" w:rsidRDefault="005E6B44" w:rsidP="005E6B44">
      <w:r>
        <w:separator/>
      </w:r>
    </w:p>
  </w:footnote>
  <w:footnote w:type="continuationSeparator" w:id="0">
    <w:p w14:paraId="1645DBBB" w14:textId="77777777" w:rsidR="005E6B44" w:rsidRDefault="005E6B44" w:rsidP="005E6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E3"/>
    <w:rsid w:val="000650ED"/>
    <w:rsid w:val="000B2AFD"/>
    <w:rsid w:val="00152B39"/>
    <w:rsid w:val="002C7DE3"/>
    <w:rsid w:val="003126F0"/>
    <w:rsid w:val="003A6E34"/>
    <w:rsid w:val="005E6B44"/>
    <w:rsid w:val="00692D7C"/>
    <w:rsid w:val="006A05DC"/>
    <w:rsid w:val="0070471F"/>
    <w:rsid w:val="00AF582A"/>
    <w:rsid w:val="00B37471"/>
    <w:rsid w:val="00D61491"/>
    <w:rsid w:val="00E20AA8"/>
    <w:rsid w:val="00F25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0CDA57"/>
  <w15:chartTrackingRefBased/>
  <w15:docId w15:val="{8E3C2DDE-8157-43D3-B75B-4F22C760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C7D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7D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7D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C7D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7D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7D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7D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7D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7D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7D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7D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7D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C7D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7D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7D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7D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7D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7D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7D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7D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D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7D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DE3"/>
    <w:pPr>
      <w:spacing w:before="160" w:after="160"/>
      <w:jc w:val="center"/>
    </w:pPr>
    <w:rPr>
      <w:i/>
      <w:iCs/>
      <w:color w:val="404040" w:themeColor="text1" w:themeTint="BF"/>
    </w:rPr>
  </w:style>
  <w:style w:type="character" w:customStyle="1" w:styleId="a8">
    <w:name w:val="引用文 (文字)"/>
    <w:basedOn w:val="a0"/>
    <w:link w:val="a7"/>
    <w:uiPriority w:val="29"/>
    <w:rsid w:val="002C7DE3"/>
    <w:rPr>
      <w:i/>
      <w:iCs/>
      <w:color w:val="404040" w:themeColor="text1" w:themeTint="BF"/>
    </w:rPr>
  </w:style>
  <w:style w:type="paragraph" w:styleId="a9">
    <w:name w:val="List Paragraph"/>
    <w:basedOn w:val="a"/>
    <w:uiPriority w:val="34"/>
    <w:qFormat/>
    <w:rsid w:val="002C7DE3"/>
    <w:pPr>
      <w:ind w:left="720"/>
      <w:contextualSpacing/>
    </w:pPr>
  </w:style>
  <w:style w:type="character" w:styleId="21">
    <w:name w:val="Intense Emphasis"/>
    <w:basedOn w:val="a0"/>
    <w:uiPriority w:val="21"/>
    <w:qFormat/>
    <w:rsid w:val="002C7DE3"/>
    <w:rPr>
      <w:i/>
      <w:iCs/>
      <w:color w:val="2F5496" w:themeColor="accent1" w:themeShade="BF"/>
    </w:rPr>
  </w:style>
  <w:style w:type="paragraph" w:styleId="22">
    <w:name w:val="Intense Quote"/>
    <w:basedOn w:val="a"/>
    <w:next w:val="a"/>
    <w:link w:val="23"/>
    <w:uiPriority w:val="30"/>
    <w:qFormat/>
    <w:rsid w:val="002C7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C7DE3"/>
    <w:rPr>
      <w:i/>
      <w:iCs/>
      <w:color w:val="2F5496" w:themeColor="accent1" w:themeShade="BF"/>
    </w:rPr>
  </w:style>
  <w:style w:type="character" w:styleId="24">
    <w:name w:val="Intense Reference"/>
    <w:basedOn w:val="a0"/>
    <w:uiPriority w:val="32"/>
    <w:qFormat/>
    <w:rsid w:val="002C7DE3"/>
    <w:rPr>
      <w:b/>
      <w:bCs/>
      <w:smallCaps/>
      <w:color w:val="2F5496" w:themeColor="accent1" w:themeShade="BF"/>
      <w:spacing w:val="5"/>
    </w:rPr>
  </w:style>
  <w:style w:type="paragraph" w:styleId="aa">
    <w:name w:val="Body Text"/>
    <w:basedOn w:val="a"/>
    <w:link w:val="ab"/>
    <w:uiPriority w:val="1"/>
    <w:qFormat/>
    <w:rsid w:val="002C7DE3"/>
    <w:pPr>
      <w:autoSpaceDE w:val="0"/>
      <w:autoSpaceDN w:val="0"/>
      <w:ind w:left="25"/>
      <w:jc w:val="left"/>
    </w:pPr>
    <w:rPr>
      <w:rFonts w:ascii="Tahoma" w:eastAsia="Tahoma" w:hAnsi="Tahoma" w:cs="Tahoma"/>
      <w:kern w:val="0"/>
      <w:sz w:val="22"/>
      <w:lang w:val="en-US" w:eastAsia="en-US"/>
    </w:rPr>
  </w:style>
  <w:style w:type="character" w:customStyle="1" w:styleId="ab">
    <w:name w:val="本文 (文字)"/>
    <w:basedOn w:val="a0"/>
    <w:link w:val="aa"/>
    <w:uiPriority w:val="1"/>
    <w:rsid w:val="002C7DE3"/>
    <w:rPr>
      <w:rFonts w:ascii="Tahoma" w:eastAsia="Tahoma" w:hAnsi="Tahoma" w:cs="Tahoma"/>
      <w:kern w:val="0"/>
      <w:sz w:val="22"/>
      <w:lang w:val="en-US" w:eastAsia="en-US"/>
    </w:rPr>
  </w:style>
  <w:style w:type="paragraph" w:styleId="Web">
    <w:name w:val="Normal (Web)"/>
    <w:basedOn w:val="a"/>
    <w:uiPriority w:val="99"/>
    <w:semiHidden/>
    <w:unhideWhenUsed/>
    <w:rsid w:val="002C7DE3"/>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2026-05-10T03:37:00Z</dcterms:created>
  <dcterms:modified xsi:type="dcterms:W3CDTF">2026-05-10T03:37:00Z</dcterms:modified>
</cp:coreProperties>
</file>