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A9EE" w14:textId="77777777" w:rsidR="00F00C41" w:rsidRPr="00371E2E" w:rsidRDefault="00F00C41" w:rsidP="00F00C41">
      <w:pPr>
        <w:pStyle w:val="aa"/>
        <w:rPr>
          <w:rFonts w:ascii="BIZ UDPゴシック" w:eastAsia="BIZ UDPゴシック" w:hAnsi="BIZ UDPゴシック" w:cstheme="minorHAnsi"/>
          <w:lang w:eastAsia="ja-JP"/>
        </w:rPr>
      </w:pPr>
      <w:r w:rsidRPr="00371E2E">
        <w:rPr>
          <w:rFonts w:ascii="BIZ UDPゴシック" w:eastAsia="BIZ UDPゴシック" w:hAnsi="BIZ UDPゴシック" w:cstheme="minorHAnsi" w:hint="eastAsia"/>
          <w:lang w:eastAsia="ja-JP"/>
        </w:rPr>
        <w:t>文書提出</w:t>
      </w:r>
    </w:p>
    <w:p w14:paraId="16381B3E" w14:textId="77777777" w:rsidR="00F00C41" w:rsidRDefault="00F00C41" w:rsidP="00F00C41">
      <w:pPr>
        <w:rPr>
          <w:rFonts w:ascii="BIZ UDPゴシック" w:eastAsia="BIZ UDPゴシック" w:hAnsi="BIZ UDPゴシック" w:cstheme="minorHAnsi"/>
          <w:kern w:val="0"/>
          <w:sz w:val="24"/>
          <w:szCs w:val="24"/>
          <w:lang w:val="en-US" w:eastAsia="ja-JP"/>
        </w:rPr>
      </w:pPr>
      <w:r w:rsidRPr="00F00C41">
        <w:rPr>
          <w:rFonts w:ascii="BIZ UDPゴシック" w:eastAsia="BIZ UDPゴシック" w:hAnsi="BIZ UDPゴシック" w:cstheme="minorHAnsi" w:hint="eastAsia"/>
          <w:kern w:val="0"/>
          <w:sz w:val="24"/>
          <w:szCs w:val="24"/>
          <w:lang w:val="en-US" w:eastAsia="ja-JP"/>
        </w:rPr>
        <w:t>グローバル・エイジング・ネットワーク</w:t>
      </w:r>
    </w:p>
    <w:p w14:paraId="2EECB795" w14:textId="0C00CFFF" w:rsidR="00F00C41" w:rsidRDefault="00F00C41" w:rsidP="00F00C41">
      <w:pPr>
        <w:rPr>
          <w:rFonts w:ascii="BIZ UDPゴシック" w:eastAsia="BIZ UDPゴシック" w:hAnsi="BIZ UDPゴシック" w:cstheme="minorHAnsi"/>
          <w:kern w:val="0"/>
          <w:sz w:val="24"/>
          <w:szCs w:val="24"/>
          <w:lang w:val="en-US" w:eastAsia="ja-JP"/>
        </w:rPr>
      </w:pPr>
      <w:r>
        <w:t>国際高齢者ホーム・サービス協会</w:t>
      </w:r>
    </w:p>
    <w:p w14:paraId="05A79B40" w14:textId="77777777" w:rsidR="000B2AFD" w:rsidRDefault="000B2AFD">
      <w:pPr>
        <w:rPr>
          <w:lang w:eastAsia="ja-JP"/>
        </w:rPr>
      </w:pPr>
    </w:p>
    <w:p w14:paraId="54E18BBB" w14:textId="210FC032" w:rsidR="00F00C41" w:rsidRPr="0047522A" w:rsidRDefault="00F00C41" w:rsidP="00F00C41">
      <w:pPr>
        <w:pStyle w:val="Web"/>
        <w:ind w:firstLineChars="100" w:firstLine="210"/>
        <w:rPr>
          <w:rFonts w:ascii="ＭＳ 明朝" w:eastAsia="ＭＳ 明朝" w:hAnsi="ＭＳ 明朝"/>
          <w:sz w:val="21"/>
          <w:szCs w:val="21"/>
        </w:rPr>
      </w:pPr>
      <w:r w:rsidRPr="0047522A">
        <w:rPr>
          <w:rFonts w:ascii="ＭＳ 明朝" w:eastAsia="ＭＳ 明朝" w:hAnsi="ＭＳ 明朝"/>
          <w:sz w:val="21"/>
          <w:szCs w:val="21"/>
        </w:rPr>
        <w:t>グローバル・エイジング・ネットワークは、「高齢者に関する政府間作業部会」の</w:t>
      </w:r>
      <w:r w:rsidR="000B080A">
        <w:rPr>
          <w:rFonts w:ascii="ＭＳ 明朝" w:eastAsia="ＭＳ 明朝" w:hAnsi="ＭＳ 明朝" w:hint="eastAsia"/>
          <w:sz w:val="21"/>
          <w:szCs w:val="21"/>
        </w:rPr>
        <w:t>最初の</w:t>
      </w:r>
      <w:r w:rsidRPr="0047522A">
        <w:rPr>
          <w:rFonts w:ascii="ＭＳ 明朝" w:eastAsia="ＭＳ 明朝" w:hAnsi="ＭＳ 明朝"/>
          <w:sz w:val="21"/>
          <w:szCs w:val="21"/>
        </w:rPr>
        <w:t>会合の開催を歓迎するとともに、世界中の高齢者の保護、尊厳、および人権の促進に向けた加盟各国の取り組みを称賛します。</w:t>
      </w:r>
      <w:r w:rsidR="000B080A">
        <w:rPr>
          <w:rFonts w:ascii="ＭＳ 明朝" w:eastAsia="ＭＳ 明朝" w:hAnsi="ＭＳ 明朝"/>
          <w:sz w:val="21"/>
          <w:szCs w:val="21"/>
        </w:rPr>
        <w:t>私たち</w:t>
      </w:r>
      <w:r w:rsidRPr="0047522A">
        <w:rPr>
          <w:rFonts w:ascii="ＭＳ 明朝" w:eastAsia="ＭＳ 明朝" w:hAnsi="ＭＳ 明朝"/>
          <w:sz w:val="21"/>
          <w:szCs w:val="21"/>
        </w:rPr>
        <w:t>は、グローバル高齢者同盟（Global Alliance of Older Persons）が本会合で行った書面および口頭による声明を全面的に支持</w:t>
      </w:r>
      <w:r w:rsidR="00344FAD">
        <w:rPr>
          <w:rFonts w:ascii="ＭＳ 明朝" w:eastAsia="ＭＳ 明朝" w:hAnsi="ＭＳ 明朝" w:hint="eastAsia"/>
          <w:sz w:val="21"/>
          <w:szCs w:val="21"/>
        </w:rPr>
        <w:t>します</w:t>
      </w:r>
      <w:r w:rsidRPr="0047522A">
        <w:rPr>
          <w:rFonts w:ascii="ＭＳ 明朝" w:eastAsia="ＭＳ 明朝" w:hAnsi="ＭＳ 明朝"/>
          <w:sz w:val="21"/>
          <w:szCs w:val="21"/>
        </w:rPr>
        <w:t>。</w:t>
      </w:r>
      <w:r w:rsidR="000B080A">
        <w:rPr>
          <w:rFonts w:ascii="ＭＳ 明朝" w:eastAsia="ＭＳ 明朝" w:hAnsi="ＭＳ 明朝" w:hint="eastAsia"/>
          <w:sz w:val="21"/>
          <w:szCs w:val="21"/>
        </w:rPr>
        <w:t>（訳注　IGWGのサイト</w:t>
      </w:r>
      <w:r w:rsidR="00344FAD">
        <w:rPr>
          <w:rFonts w:ascii="ＭＳ 明朝" w:eastAsia="ＭＳ 明朝" w:hAnsi="ＭＳ 明朝" w:hint="eastAsia"/>
          <w:sz w:val="21"/>
          <w:szCs w:val="21"/>
        </w:rPr>
        <w:t>の準備会合のページにはその団体の発言・文書は紹介されていないように思われる。）</w:t>
      </w:r>
    </w:p>
    <w:p w14:paraId="6BBA5927" w14:textId="19BDDFEC" w:rsidR="00F00C41" w:rsidRPr="0047522A" w:rsidRDefault="00F00C41" w:rsidP="00F00C41">
      <w:pPr>
        <w:pStyle w:val="Web"/>
        <w:ind w:firstLineChars="100" w:firstLine="210"/>
        <w:rPr>
          <w:rFonts w:ascii="ＭＳ 明朝" w:eastAsia="ＭＳ 明朝" w:hAnsi="ＭＳ 明朝"/>
          <w:sz w:val="21"/>
          <w:szCs w:val="21"/>
        </w:rPr>
      </w:pPr>
      <w:r w:rsidRPr="0047522A">
        <w:rPr>
          <w:rFonts w:ascii="ＭＳ 明朝" w:eastAsia="ＭＳ 明朝" w:hAnsi="ＭＳ 明朝"/>
          <w:sz w:val="21"/>
          <w:szCs w:val="21"/>
        </w:rPr>
        <w:t>多様な文化的、経済的、政治的状況下で高齢者および高齢者</w:t>
      </w:r>
      <w:r w:rsidR="00344FAD">
        <w:rPr>
          <w:rFonts w:ascii="ＭＳ 明朝" w:eastAsia="ＭＳ 明朝" w:hAnsi="ＭＳ 明朝" w:hint="eastAsia"/>
          <w:sz w:val="21"/>
          <w:szCs w:val="21"/>
        </w:rPr>
        <w:t>を支援</w:t>
      </w:r>
      <w:r w:rsidRPr="0047522A">
        <w:rPr>
          <w:rFonts w:ascii="ＭＳ 明朝" w:eastAsia="ＭＳ 明朝" w:hAnsi="ＭＳ 明朝"/>
          <w:sz w:val="21"/>
          <w:szCs w:val="21"/>
        </w:rPr>
        <w:t>する組織を代表するグローバル・ネットワークとして、</w:t>
      </w:r>
      <w:r w:rsidR="000B080A">
        <w:rPr>
          <w:rFonts w:ascii="ＭＳ 明朝" w:eastAsia="ＭＳ 明朝" w:hAnsi="ＭＳ 明朝"/>
          <w:sz w:val="21"/>
          <w:szCs w:val="21"/>
        </w:rPr>
        <w:t>私たち</w:t>
      </w:r>
      <w:r w:rsidRPr="0047522A">
        <w:rPr>
          <w:rFonts w:ascii="ＭＳ 明朝" w:eastAsia="ＭＳ 明朝" w:hAnsi="ＭＳ 明朝"/>
          <w:sz w:val="21"/>
          <w:szCs w:val="21"/>
        </w:rPr>
        <w:t>は、国際的に拘束力のある条約の正当性、有効性、および影響力は、その策定プロセスの公正さ</w:t>
      </w:r>
      <w:r w:rsidR="00344FAD">
        <w:rPr>
          <w:rFonts w:ascii="ＭＳ 明朝" w:eastAsia="ＭＳ 明朝" w:hAnsi="ＭＳ 明朝" w:hint="eastAsia"/>
          <w:sz w:val="21"/>
          <w:szCs w:val="21"/>
        </w:rPr>
        <w:t>（integrity）</w:t>
      </w:r>
      <w:r w:rsidRPr="0047522A">
        <w:rPr>
          <w:rFonts w:ascii="ＭＳ 明朝" w:eastAsia="ＭＳ 明朝" w:hAnsi="ＭＳ 明朝"/>
          <w:sz w:val="21"/>
          <w:szCs w:val="21"/>
        </w:rPr>
        <w:t>に依存することを強く強調</w:t>
      </w:r>
      <w:r w:rsidR="00344FAD">
        <w:rPr>
          <w:rFonts w:ascii="ＭＳ 明朝" w:eastAsia="ＭＳ 明朝" w:hAnsi="ＭＳ 明朝" w:hint="eastAsia"/>
          <w:sz w:val="21"/>
          <w:szCs w:val="21"/>
        </w:rPr>
        <w:t>します</w:t>
      </w:r>
      <w:r w:rsidRPr="0047522A">
        <w:rPr>
          <w:rFonts w:ascii="ＭＳ 明朝" w:eastAsia="ＭＳ 明朝" w:hAnsi="ＭＳ 明朝"/>
          <w:sz w:val="21"/>
          <w:szCs w:val="21"/>
        </w:rPr>
        <w:t>。</w:t>
      </w:r>
    </w:p>
    <w:p w14:paraId="66FB0D4D" w14:textId="7248CCF4" w:rsidR="00F00C41" w:rsidRPr="0047522A" w:rsidRDefault="00F00C41" w:rsidP="00F00C41">
      <w:pPr>
        <w:pStyle w:val="Web"/>
        <w:ind w:firstLineChars="100" w:firstLine="210"/>
        <w:rPr>
          <w:rFonts w:ascii="ＭＳ 明朝" w:eastAsia="ＭＳ 明朝" w:hAnsi="ＭＳ 明朝"/>
          <w:sz w:val="21"/>
          <w:szCs w:val="21"/>
        </w:rPr>
      </w:pPr>
      <w:r w:rsidRPr="0047522A">
        <w:rPr>
          <w:rFonts w:ascii="ＭＳ 明朝" w:eastAsia="ＭＳ 明朝" w:hAnsi="ＭＳ 明朝"/>
          <w:sz w:val="21"/>
          <w:szCs w:val="21"/>
        </w:rPr>
        <w:t>その核心は、市民社会組織や</w:t>
      </w:r>
      <w:r w:rsidR="00344FAD">
        <w:rPr>
          <w:rFonts w:ascii="ＭＳ 明朝" w:eastAsia="ＭＳ 明朝" w:hAnsi="ＭＳ 明朝" w:hint="eastAsia"/>
          <w:sz w:val="21"/>
          <w:szCs w:val="21"/>
        </w:rPr>
        <w:t>その</w:t>
      </w:r>
      <w:r w:rsidRPr="0047522A">
        <w:rPr>
          <w:rFonts w:ascii="ＭＳ 明朝" w:eastAsia="ＭＳ 明朝" w:hAnsi="ＭＳ 明朝"/>
          <w:sz w:val="21"/>
          <w:szCs w:val="21"/>
        </w:rPr>
        <w:t>代表機関と共に、高齢者自身</w:t>
      </w:r>
      <w:r w:rsidR="00344FAD">
        <w:rPr>
          <w:rFonts w:ascii="ＭＳ 明朝" w:eastAsia="ＭＳ 明朝" w:hAnsi="ＭＳ 明朝" w:hint="eastAsia"/>
          <w:sz w:val="21"/>
          <w:szCs w:val="21"/>
        </w:rPr>
        <w:t>の</w:t>
      </w:r>
      <w:r w:rsidRPr="0047522A">
        <w:rPr>
          <w:rFonts w:ascii="ＭＳ 明朝" w:eastAsia="ＭＳ 明朝" w:hAnsi="ＭＳ 明朝"/>
          <w:sz w:val="21"/>
          <w:szCs w:val="21"/>
        </w:rPr>
        <w:t>完全かつ有意義で継続的な参加でなければなりません。高齢者は均質な集団ではありません。彼らの声、実体験、優先事項は、起草プロセス全体を通じて反映されなければなりません。つまり、断片的に意見を聞くのではなく、審議と意思決定のパートナーとして組み込まれる必要があります。</w:t>
      </w:r>
    </w:p>
    <w:p w14:paraId="483A1E9C" w14:textId="6AFB4D38" w:rsidR="00F00C41" w:rsidRPr="0047522A" w:rsidRDefault="00F00C41" w:rsidP="00F00C41">
      <w:pPr>
        <w:pStyle w:val="Web"/>
        <w:ind w:firstLineChars="100" w:firstLine="210"/>
        <w:rPr>
          <w:rFonts w:ascii="ＭＳ 明朝" w:eastAsia="ＭＳ 明朝" w:hAnsi="ＭＳ 明朝"/>
          <w:sz w:val="21"/>
          <w:szCs w:val="21"/>
        </w:rPr>
      </w:pPr>
      <w:r w:rsidRPr="0047522A">
        <w:rPr>
          <w:rFonts w:ascii="ＭＳ 明朝" w:eastAsia="ＭＳ 明朝" w:hAnsi="ＭＳ 明朝"/>
          <w:sz w:val="21"/>
          <w:szCs w:val="21"/>
        </w:rPr>
        <w:t>また、作業部会の活動全般における透明性とアクセシビリティの重要性を強調します。</w:t>
      </w:r>
      <w:r w:rsidR="006354E1">
        <w:rPr>
          <w:rFonts w:ascii="ＭＳ 明朝" w:eastAsia="ＭＳ 明朝" w:hAnsi="ＭＳ 明朝" w:hint="eastAsia"/>
          <w:sz w:val="21"/>
          <w:szCs w:val="21"/>
        </w:rPr>
        <w:t>分かりやすい</w:t>
      </w:r>
      <w:r w:rsidRPr="0047522A">
        <w:rPr>
          <w:rFonts w:ascii="ＭＳ 明朝" w:eastAsia="ＭＳ 明朝" w:hAnsi="ＭＳ 明朝"/>
          <w:sz w:val="21"/>
          <w:szCs w:val="21"/>
        </w:rPr>
        <w:t>コミュニケーション、</w:t>
      </w:r>
      <w:r w:rsidR="006354E1" w:rsidRPr="0047522A">
        <w:rPr>
          <w:rFonts w:ascii="ＭＳ 明朝" w:eastAsia="ＭＳ 明朝" w:hAnsi="ＭＳ 明朝"/>
          <w:sz w:val="21"/>
          <w:szCs w:val="21"/>
        </w:rPr>
        <w:t>文書</w:t>
      </w:r>
      <w:r w:rsidRPr="0047522A">
        <w:rPr>
          <w:rFonts w:ascii="ＭＳ 明朝" w:eastAsia="ＭＳ 明朝" w:hAnsi="ＭＳ 明朝"/>
          <w:sz w:val="21"/>
          <w:szCs w:val="21"/>
        </w:rPr>
        <w:t>公開、</w:t>
      </w:r>
      <w:r w:rsidR="006354E1">
        <w:rPr>
          <w:rFonts w:ascii="ＭＳ 明朝" w:eastAsia="ＭＳ 明朝" w:hAnsi="ＭＳ 明朝" w:hint="eastAsia"/>
          <w:sz w:val="21"/>
          <w:szCs w:val="21"/>
        </w:rPr>
        <w:t>包摂</w:t>
      </w:r>
      <w:r w:rsidRPr="0047522A">
        <w:rPr>
          <w:rFonts w:ascii="ＭＳ 明朝" w:eastAsia="ＭＳ 明朝" w:hAnsi="ＭＳ 明朝"/>
          <w:sz w:val="21"/>
          <w:szCs w:val="21"/>
        </w:rPr>
        <w:t>的な協議メカニズム、そして</w:t>
      </w:r>
      <w:r w:rsidR="006354E1">
        <w:rPr>
          <w:rFonts w:ascii="ＭＳ 明朝" w:eastAsia="ＭＳ 明朝" w:hAnsi="ＭＳ 明朝" w:hint="eastAsia"/>
          <w:sz w:val="21"/>
          <w:szCs w:val="21"/>
        </w:rPr>
        <w:t>十分</w:t>
      </w:r>
      <w:r w:rsidRPr="0047522A">
        <w:rPr>
          <w:rFonts w:ascii="ＭＳ 明朝" w:eastAsia="ＭＳ 明朝" w:hAnsi="ＭＳ 明朝"/>
          <w:sz w:val="21"/>
          <w:szCs w:val="21"/>
        </w:rPr>
        <w:t>な時間枠は、信頼、説明責任、そして十分な情報に基づいた参加を確保するために不可欠です。特に、年齢、障害、地理的要因、あるいはデジタルアクセスの面で</w:t>
      </w:r>
      <w:r w:rsidR="006354E1">
        <w:rPr>
          <w:rFonts w:ascii="ＭＳ 明朝" w:eastAsia="ＭＳ 明朝" w:hAnsi="ＭＳ 明朝" w:hint="eastAsia"/>
          <w:sz w:val="21"/>
          <w:szCs w:val="21"/>
        </w:rPr>
        <w:t>バリア</w:t>
      </w:r>
      <w:r w:rsidRPr="0047522A">
        <w:rPr>
          <w:rFonts w:ascii="ＭＳ 明朝" w:eastAsia="ＭＳ 明朝" w:hAnsi="ＭＳ 明朝"/>
          <w:sz w:val="21"/>
          <w:szCs w:val="21"/>
        </w:rPr>
        <w:t>に直面している人にとっては重要です。</w:t>
      </w:r>
    </w:p>
    <w:p w14:paraId="78B52621" w14:textId="3809A958" w:rsidR="00F00C41" w:rsidRPr="0047522A" w:rsidRDefault="00F00C41" w:rsidP="00F00C41">
      <w:pPr>
        <w:pStyle w:val="Web"/>
        <w:ind w:firstLineChars="100" w:firstLine="210"/>
        <w:rPr>
          <w:rFonts w:ascii="ＭＳ 明朝" w:eastAsia="ＭＳ 明朝" w:hAnsi="ＭＳ 明朝"/>
          <w:sz w:val="21"/>
          <w:szCs w:val="21"/>
        </w:rPr>
      </w:pPr>
      <w:r w:rsidRPr="0047522A">
        <w:rPr>
          <w:rFonts w:ascii="ＭＳ 明朝" w:eastAsia="ＭＳ 明朝" w:hAnsi="ＭＳ 明朝"/>
          <w:sz w:val="21"/>
          <w:szCs w:val="21"/>
        </w:rPr>
        <w:t>最後に、</w:t>
      </w:r>
      <w:r w:rsidR="000B080A">
        <w:rPr>
          <w:rFonts w:ascii="ＭＳ 明朝" w:eastAsia="ＭＳ 明朝" w:hAnsi="ＭＳ 明朝"/>
          <w:sz w:val="21"/>
          <w:szCs w:val="21"/>
        </w:rPr>
        <w:t>私たち</w:t>
      </w:r>
      <w:r w:rsidRPr="0047522A">
        <w:rPr>
          <w:rFonts w:ascii="ＭＳ 明朝" w:eastAsia="ＭＳ 明朝" w:hAnsi="ＭＳ 明朝"/>
          <w:sz w:val="21"/>
          <w:szCs w:val="21"/>
        </w:rPr>
        <w:t>は作業部会に対し、プロセスの全</w:t>
      </w:r>
      <w:r w:rsidR="006354E1">
        <w:rPr>
          <w:rFonts w:ascii="ＭＳ 明朝" w:eastAsia="ＭＳ 明朝" w:hAnsi="ＭＳ 明朝" w:hint="eastAsia"/>
          <w:sz w:val="21"/>
          <w:szCs w:val="21"/>
        </w:rPr>
        <w:t>過程</w:t>
      </w:r>
      <w:r w:rsidRPr="0047522A">
        <w:rPr>
          <w:rFonts w:ascii="ＭＳ 明朝" w:eastAsia="ＭＳ 明朝" w:hAnsi="ＭＳ 明朝"/>
          <w:sz w:val="21"/>
          <w:szCs w:val="21"/>
        </w:rPr>
        <w:t>にわた</w:t>
      </w:r>
      <w:r w:rsidR="006354E1">
        <w:rPr>
          <w:rFonts w:ascii="ＭＳ 明朝" w:eastAsia="ＭＳ 明朝" w:hAnsi="ＭＳ 明朝" w:hint="eastAsia"/>
          <w:sz w:val="21"/>
          <w:szCs w:val="21"/>
        </w:rPr>
        <w:t>る</w:t>
      </w:r>
      <w:r w:rsidRPr="0047522A">
        <w:rPr>
          <w:rFonts w:ascii="ＭＳ 明朝" w:eastAsia="ＭＳ 明朝" w:hAnsi="ＭＳ 明朝"/>
          <w:sz w:val="21"/>
          <w:szCs w:val="21"/>
        </w:rPr>
        <w:t>持続的な関与を可能にする、適切かつ一貫した実施方法を確立するよう強く求めます。これには、アクセシブルな形式、</w:t>
      </w:r>
      <w:r w:rsidR="006354E1">
        <w:rPr>
          <w:rFonts w:ascii="ＭＳ 明朝" w:eastAsia="ＭＳ 明朝" w:hAnsi="ＭＳ 明朝" w:hint="eastAsia"/>
          <w:sz w:val="21"/>
          <w:szCs w:val="21"/>
        </w:rPr>
        <w:t>包摂</w:t>
      </w:r>
      <w:r w:rsidRPr="0047522A">
        <w:rPr>
          <w:rFonts w:ascii="ＭＳ 明朝" w:eastAsia="ＭＳ 明朝" w:hAnsi="ＭＳ 明朝"/>
          <w:sz w:val="21"/>
          <w:szCs w:val="21"/>
        </w:rPr>
        <w:t>的な会議の実施方法、そして高齢者やその支援者が直面する現実的な状況への配慮が含まれます。</w:t>
      </w:r>
    </w:p>
    <w:p w14:paraId="5884A990" w14:textId="33A99932" w:rsidR="00F00C41" w:rsidRPr="0047522A" w:rsidRDefault="00F00C41" w:rsidP="00F00C41">
      <w:pPr>
        <w:pStyle w:val="Web"/>
        <w:ind w:firstLineChars="100" w:firstLine="210"/>
        <w:rPr>
          <w:rFonts w:ascii="ＭＳ 明朝" w:eastAsia="ＭＳ 明朝" w:hAnsi="ＭＳ 明朝"/>
          <w:sz w:val="21"/>
          <w:szCs w:val="21"/>
        </w:rPr>
      </w:pPr>
      <w:r w:rsidRPr="0047522A">
        <w:rPr>
          <w:rFonts w:ascii="ＭＳ 明朝" w:eastAsia="ＭＳ 明朝" w:hAnsi="ＭＳ 明朝"/>
          <w:sz w:val="21"/>
          <w:szCs w:val="21"/>
        </w:rPr>
        <w:t>グローバル・エイジング・ネットワークは、この歴史的なプロセスに建設的に貢献する用意があり、</w:t>
      </w:r>
      <w:r w:rsidR="006354E1">
        <w:rPr>
          <w:rFonts w:ascii="ＭＳ 明朝" w:eastAsia="ＭＳ 明朝" w:hAnsi="ＭＳ 明朝" w:hint="eastAsia"/>
          <w:sz w:val="21"/>
          <w:szCs w:val="21"/>
        </w:rPr>
        <w:t>包摂</w:t>
      </w:r>
      <w:r w:rsidRPr="0047522A">
        <w:rPr>
          <w:rFonts w:ascii="ＭＳ 明朝" w:eastAsia="ＭＳ 明朝" w:hAnsi="ＭＳ 明朝"/>
          <w:sz w:val="21"/>
          <w:szCs w:val="21"/>
        </w:rPr>
        <w:t>的で権利に基づき、世界中の高齢化の実情に根ざした条約を確実なものとするため、協力して取り組むことを楽しみにしています。</w:t>
      </w:r>
    </w:p>
    <w:p w14:paraId="18FE00BB" w14:textId="77777777" w:rsidR="00011CDC" w:rsidRDefault="00011CDC" w:rsidP="00011CDC">
      <w:pPr>
        <w:pStyle w:val="Web"/>
        <w:jc w:val="right"/>
        <w:rPr>
          <w:rFonts w:ascii="ＭＳ 明朝" w:eastAsia="ＭＳ 明朝" w:hAnsi="ＭＳ 明朝"/>
        </w:rPr>
      </w:pPr>
      <w:r w:rsidRPr="001C6C39">
        <w:rPr>
          <w:rFonts w:ascii="ＭＳ 明朝" w:eastAsia="ＭＳ 明朝" w:hAnsi="ＭＳ 明朝" w:hint="eastAsia"/>
        </w:rPr>
        <w:t>（翻訳：佐藤久夫、　　　　）</w:t>
      </w:r>
    </w:p>
    <w:p w14:paraId="7469D09A" w14:textId="77777777" w:rsidR="00F00C41" w:rsidRDefault="00F00C41" w:rsidP="00F00C41">
      <w:pPr>
        <w:pStyle w:val="Web"/>
      </w:pPr>
    </w:p>
    <w:p w14:paraId="5C2727CB" w14:textId="77777777" w:rsidR="00F00C41" w:rsidRDefault="00F00C41" w:rsidP="00F00C41">
      <w:pPr>
        <w:rPr>
          <w:b/>
          <w:bCs/>
          <w:u w:val="single"/>
        </w:rPr>
      </w:pPr>
      <w:r>
        <w:rPr>
          <w:b/>
          <w:bCs/>
          <w:u w:val="single"/>
        </w:rPr>
        <w:t xml:space="preserve">International Association of the Homes &amp; Services for the Ageing (the </w:t>
      </w:r>
      <w:r w:rsidRPr="002A3583">
        <w:rPr>
          <w:b/>
          <w:bCs/>
          <w:u w:val="single"/>
        </w:rPr>
        <w:t>Global Ageing Network</w:t>
      </w:r>
      <w:r>
        <w:rPr>
          <w:b/>
          <w:bCs/>
          <w:u w:val="single"/>
        </w:rPr>
        <w:t>)</w:t>
      </w:r>
      <w:r w:rsidRPr="002A3583">
        <w:rPr>
          <w:b/>
          <w:bCs/>
          <w:u w:val="single"/>
        </w:rPr>
        <w:t xml:space="preserve"> Statement t</w:t>
      </w:r>
      <w:r>
        <w:rPr>
          <w:b/>
          <w:bCs/>
          <w:u w:val="single"/>
        </w:rPr>
        <w:t xml:space="preserve">o the First Session of the Inter-Governmental Working Group on Older Persons </w:t>
      </w:r>
      <w:r>
        <w:rPr>
          <w:b/>
          <w:bCs/>
          <w:u w:val="single"/>
        </w:rPr>
        <w:lastRenderedPageBreak/>
        <w:t>18 - 20 February 2026</w:t>
      </w:r>
    </w:p>
    <w:p w14:paraId="652E86D6" w14:textId="77777777" w:rsidR="00F00C41" w:rsidRPr="00753E0D" w:rsidRDefault="00F00C41" w:rsidP="00F00C41">
      <w:pPr>
        <w:rPr>
          <w:b/>
          <w:bCs/>
          <w:u w:val="single"/>
        </w:rPr>
      </w:pPr>
    </w:p>
    <w:p w14:paraId="44F7B5C1" w14:textId="77777777" w:rsidR="00F00C41" w:rsidRPr="00753E0D" w:rsidRDefault="00F00C41" w:rsidP="00F00C41">
      <w:r w:rsidRPr="00753E0D">
        <w:t>The Global Ageing Network welcomes the convening of the first session of the Intergovernmental Working Group on Older Persons and commends Member States for their commitment to advancing the protection, dignity, and human rights of older persons worldwide.</w:t>
      </w:r>
      <w:r>
        <w:t xml:space="preserve">  We fully support the written and oral statements made to the session by the Global Alliance of Older Persons.</w:t>
      </w:r>
    </w:p>
    <w:p w14:paraId="6E048A2C" w14:textId="77777777" w:rsidR="00F00C41" w:rsidRPr="00753E0D" w:rsidRDefault="00F00C41" w:rsidP="00F00C41">
      <w:r w:rsidRPr="00753E0D">
        <w:t xml:space="preserve">As a global network representing </w:t>
      </w:r>
      <w:r>
        <w:t xml:space="preserve">older persons and organisations that serve older persons </w:t>
      </w:r>
      <w:r w:rsidRPr="00753E0D">
        <w:t xml:space="preserve"> across diverse cultural, economic, and political contexts, we strongly emphasise that the legitimacy, effectiveness, and impact of an </w:t>
      </w:r>
      <w:r>
        <w:t>internationally binding</w:t>
      </w:r>
      <w:r w:rsidRPr="00753E0D">
        <w:t xml:space="preserve"> </w:t>
      </w:r>
      <w:r>
        <w:t>c</w:t>
      </w:r>
      <w:r w:rsidRPr="00753E0D">
        <w:t>onvention will depend on the integrity of the process through which it is developed.</w:t>
      </w:r>
    </w:p>
    <w:p w14:paraId="3F35AAC0" w14:textId="77777777" w:rsidR="00F00C41" w:rsidRPr="00753E0D" w:rsidRDefault="00F00C41" w:rsidP="00F00C41">
      <w:r w:rsidRPr="00753E0D">
        <w:t>Central to this must be the full, meaningful, and ongoing participation of older persons themselves, alongside civil society organisations and representative bodies. Older persons are not a homogenous group; their voices, lived experiences, and priorities must be reflected throughout the drafting process—not consulted sporadically, but embedded as partners in deliberation and decision-making.</w:t>
      </w:r>
    </w:p>
    <w:p w14:paraId="08E46FD4" w14:textId="77777777" w:rsidR="00F00C41" w:rsidRPr="00753E0D" w:rsidRDefault="00F00C41" w:rsidP="00F00C41">
      <w:r w:rsidRPr="00753E0D">
        <w:t>We also underscore the importance of transparency and accessibility in all aspects of the Working Group’s work. Clear communication, open documentation, inclusive consultation mechanisms, and adequate timeframes are essential to ensure trust, accountability, and informed participation—particularly for those facing barriers related to age, disability, geography, or digital access.</w:t>
      </w:r>
    </w:p>
    <w:p w14:paraId="3EA2D6F5" w14:textId="77777777" w:rsidR="00F00C41" w:rsidRPr="00753E0D" w:rsidRDefault="00F00C41" w:rsidP="00F00C41">
      <w:r w:rsidRPr="00753E0D">
        <w:t>Finally, we urge the Working Group to establish appropriate and consistent modalities</w:t>
      </w:r>
      <w:r>
        <w:t xml:space="preserve"> for this process </w:t>
      </w:r>
      <w:r w:rsidRPr="00753E0D">
        <w:t>that enable sustained engagement across the full lifecycle of the process</w:t>
      </w:r>
      <w:r>
        <w:t xml:space="preserve">. </w:t>
      </w:r>
      <w:r w:rsidRPr="00753E0D">
        <w:t>This includes accessible formats, inclusive meeting practices, and recognition of the practical realities faced by older persons and those who support them.</w:t>
      </w:r>
    </w:p>
    <w:p w14:paraId="081D3EAA" w14:textId="77777777" w:rsidR="00F00C41" w:rsidRPr="00753E0D" w:rsidRDefault="00F00C41" w:rsidP="00F00C41">
      <w:r w:rsidRPr="00753E0D">
        <w:t>The Global Ageing Network stands ready to contribute constructively to this historic process and looks forward to working collaboratively to ensure a Convention that is inclusive, rights-based, and grounded in the lived realities of ageing across the world.</w:t>
      </w:r>
    </w:p>
    <w:p w14:paraId="53F9F2F9" w14:textId="77777777" w:rsidR="00F00C41" w:rsidRDefault="00F00C41">
      <w:pPr>
        <w:rPr>
          <w:lang w:eastAsia="ja-JP"/>
        </w:rPr>
      </w:pPr>
    </w:p>
    <w:sectPr w:rsidR="00F00C41" w:rsidSect="006A05DC">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C6FA" w14:textId="77777777" w:rsidR="00011CDC" w:rsidRDefault="00011CDC" w:rsidP="00011CDC">
      <w:r>
        <w:separator/>
      </w:r>
    </w:p>
  </w:endnote>
  <w:endnote w:type="continuationSeparator" w:id="0">
    <w:p w14:paraId="7DA31453" w14:textId="77777777" w:rsidR="00011CDC" w:rsidRDefault="00011CDC" w:rsidP="0001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3DAB" w14:textId="77777777" w:rsidR="00011CDC" w:rsidRDefault="00011CDC" w:rsidP="00011CDC">
      <w:r>
        <w:separator/>
      </w:r>
    </w:p>
  </w:footnote>
  <w:footnote w:type="continuationSeparator" w:id="0">
    <w:p w14:paraId="08E1E0B0" w14:textId="77777777" w:rsidR="00011CDC" w:rsidRDefault="00011CDC" w:rsidP="00011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41"/>
    <w:rsid w:val="00011CDC"/>
    <w:rsid w:val="000B080A"/>
    <w:rsid w:val="000B2AFD"/>
    <w:rsid w:val="00152B39"/>
    <w:rsid w:val="001B3E6F"/>
    <w:rsid w:val="003126F0"/>
    <w:rsid w:val="00344FAD"/>
    <w:rsid w:val="003A6E34"/>
    <w:rsid w:val="0047522A"/>
    <w:rsid w:val="006354E1"/>
    <w:rsid w:val="00692D7C"/>
    <w:rsid w:val="006A05DC"/>
    <w:rsid w:val="0070471F"/>
    <w:rsid w:val="007861EA"/>
    <w:rsid w:val="00AF582A"/>
    <w:rsid w:val="00B37471"/>
    <w:rsid w:val="00D61491"/>
    <w:rsid w:val="00F0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BC4284"/>
  <w15:chartTrackingRefBased/>
  <w15:docId w15:val="{FA184CC4-DC72-4EA8-8E79-A6AED0C2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0C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0C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0C4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0C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0C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0C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0C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0C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0C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0C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0C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0C4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0C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0C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0C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0C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0C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0C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0C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0C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C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0C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C41"/>
    <w:pPr>
      <w:spacing w:before="160" w:after="160"/>
      <w:jc w:val="center"/>
    </w:pPr>
    <w:rPr>
      <w:i/>
      <w:iCs/>
      <w:color w:val="404040" w:themeColor="text1" w:themeTint="BF"/>
    </w:rPr>
  </w:style>
  <w:style w:type="character" w:customStyle="1" w:styleId="a8">
    <w:name w:val="引用文 (文字)"/>
    <w:basedOn w:val="a0"/>
    <w:link w:val="a7"/>
    <w:uiPriority w:val="29"/>
    <w:rsid w:val="00F00C41"/>
    <w:rPr>
      <w:i/>
      <w:iCs/>
      <w:color w:val="404040" w:themeColor="text1" w:themeTint="BF"/>
    </w:rPr>
  </w:style>
  <w:style w:type="paragraph" w:styleId="a9">
    <w:name w:val="List Paragraph"/>
    <w:basedOn w:val="a"/>
    <w:uiPriority w:val="34"/>
    <w:qFormat/>
    <w:rsid w:val="00F00C41"/>
    <w:pPr>
      <w:ind w:left="720"/>
      <w:contextualSpacing/>
    </w:pPr>
  </w:style>
  <w:style w:type="character" w:styleId="21">
    <w:name w:val="Intense Emphasis"/>
    <w:basedOn w:val="a0"/>
    <w:uiPriority w:val="21"/>
    <w:qFormat/>
    <w:rsid w:val="00F00C41"/>
    <w:rPr>
      <w:i/>
      <w:iCs/>
      <w:color w:val="2F5496" w:themeColor="accent1" w:themeShade="BF"/>
    </w:rPr>
  </w:style>
  <w:style w:type="paragraph" w:styleId="22">
    <w:name w:val="Intense Quote"/>
    <w:basedOn w:val="a"/>
    <w:next w:val="a"/>
    <w:link w:val="23"/>
    <w:uiPriority w:val="30"/>
    <w:qFormat/>
    <w:rsid w:val="00F00C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00C41"/>
    <w:rPr>
      <w:i/>
      <w:iCs/>
      <w:color w:val="2F5496" w:themeColor="accent1" w:themeShade="BF"/>
    </w:rPr>
  </w:style>
  <w:style w:type="character" w:styleId="24">
    <w:name w:val="Intense Reference"/>
    <w:basedOn w:val="a0"/>
    <w:uiPriority w:val="32"/>
    <w:qFormat/>
    <w:rsid w:val="00F00C41"/>
    <w:rPr>
      <w:b/>
      <w:bCs/>
      <w:smallCaps/>
      <w:color w:val="2F5496" w:themeColor="accent1" w:themeShade="BF"/>
      <w:spacing w:val="5"/>
    </w:rPr>
  </w:style>
  <w:style w:type="paragraph" w:styleId="Web">
    <w:name w:val="Normal (Web)"/>
    <w:basedOn w:val="a"/>
    <w:uiPriority w:val="99"/>
    <w:semiHidden/>
    <w:unhideWhenUsed/>
    <w:rsid w:val="00F00C4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eastAsia="ja-JP"/>
    </w:rPr>
  </w:style>
  <w:style w:type="paragraph" w:styleId="aa">
    <w:name w:val="Body Text"/>
    <w:basedOn w:val="a"/>
    <w:link w:val="ab"/>
    <w:qFormat/>
    <w:rsid w:val="00F00C41"/>
    <w:pPr>
      <w:widowControl/>
      <w:spacing w:before="180" w:after="180"/>
      <w:jc w:val="left"/>
    </w:pPr>
    <w:rPr>
      <w:kern w:val="0"/>
      <w:sz w:val="24"/>
      <w:szCs w:val="24"/>
      <w:lang w:val="en-US" w:eastAsia="en-US"/>
    </w:rPr>
  </w:style>
  <w:style w:type="character" w:customStyle="1" w:styleId="ab">
    <w:name w:val="本文 (文字)"/>
    <w:basedOn w:val="a0"/>
    <w:link w:val="aa"/>
    <w:rsid w:val="00F00C41"/>
    <w:rPr>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2026-05-10T03:50:00Z</dcterms:created>
  <dcterms:modified xsi:type="dcterms:W3CDTF">2026-05-10T03:50:00Z</dcterms:modified>
</cp:coreProperties>
</file>