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CFE5" w14:textId="26F853CB" w:rsidR="00453FB7" w:rsidRDefault="00453FB7" w:rsidP="00453FB7">
      <w:pPr>
        <w:spacing w:after="0"/>
        <w:rPr>
          <w:rFonts w:ascii="ＭＳ 明朝" w:eastAsia="ＭＳ 明朝" w:hAnsi="ＭＳ 明朝"/>
          <w:color w:val="0070C0"/>
          <w:lang w:eastAsia="ja-JP"/>
        </w:rPr>
      </w:pPr>
      <w:r w:rsidRPr="1FE8FFBB">
        <w:rPr>
          <w:rFonts w:ascii="ＭＳ 明朝" w:eastAsia="ＭＳ 明朝" w:hAnsi="ＭＳ 明朝" w:cs="ＭＳ 明朝"/>
          <w:color w:val="0070C0"/>
          <w:lang w:eastAsia="zh-CN"/>
        </w:rPr>
        <w:t>脱施設化ガイドライン案への世界のコメント（2022年6月）　No.</w:t>
      </w:r>
      <w:r>
        <w:rPr>
          <w:rFonts w:ascii="ＭＳ 明朝" w:eastAsia="ＭＳ 明朝" w:hAnsi="ＭＳ 明朝" w:cs="ＭＳ 明朝" w:hint="eastAsia"/>
          <w:color w:val="0070C0"/>
          <w:lang w:eastAsia="ja-JP"/>
        </w:rPr>
        <w:t>85</w:t>
      </w:r>
    </w:p>
    <w:p w14:paraId="5C074BAD" w14:textId="77777777" w:rsidR="0040447C" w:rsidRPr="00453FB7" w:rsidRDefault="0040447C" w:rsidP="00FD7CDA">
      <w:pPr>
        <w:spacing w:after="0"/>
        <w:rPr>
          <w:rFonts w:ascii="Century" w:eastAsia="ＭＳ 明朝" w:hAnsi="Century" w:cs="Times New Roman"/>
          <w:b/>
          <w:sz w:val="24"/>
          <w:szCs w:val="24"/>
          <w:lang w:eastAsia="ja-JP"/>
        </w:rPr>
      </w:pPr>
    </w:p>
    <w:p w14:paraId="35EB610B" w14:textId="1915EFFA" w:rsidR="00FD7CDA" w:rsidRPr="007B2761" w:rsidRDefault="00A26A97" w:rsidP="00FD7CDA">
      <w:pPr>
        <w:spacing w:after="0"/>
        <w:rPr>
          <w:rFonts w:ascii="Century" w:eastAsia="ＭＳ 明朝" w:hAnsi="Century" w:cs="Times New Roman"/>
          <w:b/>
          <w:sz w:val="24"/>
          <w:szCs w:val="24"/>
          <w:lang w:eastAsia="ja-JP"/>
        </w:rPr>
      </w:pPr>
      <w:r w:rsidRPr="007B2761">
        <w:rPr>
          <w:rFonts w:ascii="Century" w:eastAsia="ＭＳ 明朝" w:hAnsi="Century" w:cs="Times New Roman" w:hint="eastAsia"/>
          <w:b/>
          <w:sz w:val="24"/>
          <w:szCs w:val="24"/>
          <w:lang w:eastAsia="ja-JP"/>
        </w:rPr>
        <w:t>汎</w:t>
      </w:r>
      <w:r w:rsidR="00FD7CDA" w:rsidRPr="007B2761">
        <w:rPr>
          <w:rFonts w:ascii="Century" w:eastAsia="ＭＳ 明朝" w:hAnsi="Century" w:cs="Times New Roman"/>
          <w:b/>
          <w:sz w:val="24"/>
          <w:szCs w:val="24"/>
          <w:lang w:eastAsia="ja-JP"/>
        </w:rPr>
        <w:t>アフリカ精神障害者ネットワーク</w:t>
      </w:r>
      <w:r w:rsidRPr="007B2761">
        <w:rPr>
          <w:rFonts w:ascii="Century" w:eastAsia="ＭＳ 明朝" w:hAnsi="Century" w:cs="Times New Roman" w:hint="eastAsia"/>
          <w:b/>
          <w:sz w:val="24"/>
          <w:szCs w:val="24"/>
          <w:lang w:eastAsia="ja-JP"/>
        </w:rPr>
        <w:t>（</w:t>
      </w:r>
      <w:r w:rsidR="00A97695" w:rsidRPr="007B2761">
        <w:rPr>
          <w:rFonts w:ascii="Century" w:eastAsia="ＭＳ 明朝" w:hAnsi="Century" w:cs="Times New Roman" w:hint="eastAsia"/>
          <w:b/>
          <w:sz w:val="24"/>
          <w:szCs w:val="24"/>
          <w:lang w:eastAsia="ja-JP"/>
        </w:rPr>
        <w:t>精神障害</w:t>
      </w:r>
      <w:r w:rsidRPr="007B2761">
        <w:rPr>
          <w:rFonts w:ascii="Century" w:eastAsia="ＭＳ 明朝" w:hAnsi="Century" w:cs="Times New Roman" w:hint="eastAsia"/>
          <w:b/>
          <w:sz w:val="24"/>
          <w:szCs w:val="24"/>
          <w:lang w:eastAsia="ja-JP"/>
        </w:rPr>
        <w:t>者を代表するアフリカ地域組織）</w:t>
      </w:r>
    </w:p>
    <w:p w14:paraId="21F6B173" w14:textId="77777777" w:rsidR="00FD7CDA" w:rsidRPr="00AE318C" w:rsidRDefault="00FD7CDA" w:rsidP="00FD7CDA">
      <w:pPr>
        <w:spacing w:after="0"/>
        <w:rPr>
          <w:rFonts w:ascii="Century" w:eastAsia="ＭＳ 明朝" w:hAnsi="Century" w:cs="Times New Roman"/>
          <w:bCs/>
          <w:sz w:val="24"/>
          <w:szCs w:val="24"/>
          <w:lang w:eastAsia="ja-JP"/>
        </w:rPr>
      </w:pPr>
      <w:r w:rsidRPr="00AE318C">
        <w:rPr>
          <w:rFonts w:ascii="Century" w:eastAsia="ＭＳ 明朝" w:hAnsi="Century" w:cs="Times New Roman"/>
          <w:bCs/>
          <w:sz w:val="24"/>
          <w:szCs w:val="24"/>
          <w:lang w:eastAsia="ja-JP"/>
        </w:rPr>
        <w:t>障害者権利委員会への提出書類</w:t>
      </w:r>
    </w:p>
    <w:p w14:paraId="10024313" w14:textId="77777777" w:rsidR="00FD7CDA" w:rsidRPr="007B2761" w:rsidRDefault="00FD7CDA" w:rsidP="00FD7CDA">
      <w:pPr>
        <w:spacing w:after="0" w:line="240" w:lineRule="auto"/>
        <w:rPr>
          <w:rFonts w:ascii="Century" w:eastAsia="ＭＳ 明朝" w:hAnsi="Century" w:cs="Times New Roman"/>
          <w:b/>
          <w:sz w:val="21"/>
          <w:szCs w:val="21"/>
          <w:lang w:eastAsia="ja-JP"/>
        </w:rPr>
      </w:pPr>
    </w:p>
    <w:p w14:paraId="0538218B" w14:textId="77777777"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筆者：</w:t>
      </w:r>
      <w:proofErr w:type="spellStart"/>
      <w:r w:rsidRPr="007B2761">
        <w:rPr>
          <w:rFonts w:ascii="Century" w:eastAsia="ＭＳ 明朝" w:hAnsi="Century"/>
          <w:sz w:val="21"/>
          <w:szCs w:val="21"/>
          <w:lang w:eastAsia="ja-JP"/>
        </w:rPr>
        <w:t>Rugoho</w:t>
      </w:r>
      <w:proofErr w:type="spellEnd"/>
      <w:r w:rsidRPr="007B2761">
        <w:rPr>
          <w:rFonts w:ascii="Century" w:eastAsia="ＭＳ 明朝" w:hAnsi="Century"/>
          <w:sz w:val="21"/>
          <w:szCs w:val="21"/>
          <w:lang w:eastAsia="ja-JP"/>
        </w:rPr>
        <w:t xml:space="preserve"> Tafadzwa</w:t>
      </w:r>
      <w:r w:rsidRPr="007B2761">
        <w:rPr>
          <w:rFonts w:ascii="Century" w:eastAsia="ＭＳ 明朝" w:hAnsi="Century"/>
          <w:sz w:val="21"/>
          <w:szCs w:val="21"/>
          <w:lang w:eastAsia="ja-JP"/>
        </w:rPr>
        <w:t>（精神保健専門アドバイザー）</w:t>
      </w:r>
      <w:r w:rsidRPr="007B2761">
        <w:rPr>
          <w:rFonts w:ascii="Century" w:eastAsia="ＭＳ 明朝" w:hAnsi="Century"/>
          <w:sz w:val="21"/>
          <w:szCs w:val="21"/>
          <w:lang w:eastAsia="ja-JP"/>
        </w:rPr>
        <w:t xml:space="preserve"> </w:t>
      </w:r>
    </w:p>
    <w:p w14:paraId="556B728A" w14:textId="77777777" w:rsidR="00FD7CDA" w:rsidRPr="007B2761" w:rsidRDefault="00FD7CDA" w:rsidP="00FD7CDA">
      <w:pPr>
        <w:pStyle w:val="a4"/>
        <w:spacing w:after="0"/>
        <w:ind w:left="0"/>
        <w:rPr>
          <w:rFonts w:ascii="Century" w:eastAsia="ＭＳ 明朝" w:hAnsi="Century" w:cs="Times New Roman"/>
          <w:sz w:val="21"/>
          <w:szCs w:val="21"/>
          <w:lang w:eastAsia="ja-JP"/>
        </w:rPr>
      </w:pPr>
    </w:p>
    <w:p w14:paraId="63890846" w14:textId="190D1202"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 xml:space="preserve">1) </w:t>
      </w:r>
      <w:r w:rsidRPr="007B2761">
        <w:rPr>
          <w:rFonts w:ascii="Century" w:eastAsia="ＭＳ 明朝" w:hAnsi="Century"/>
          <w:sz w:val="21"/>
          <w:szCs w:val="21"/>
          <w:lang w:eastAsia="ja-JP"/>
        </w:rPr>
        <w:t>家族は</w:t>
      </w:r>
      <w:r w:rsidR="00791958">
        <w:rPr>
          <w:rFonts w:ascii="Century" w:eastAsia="ＭＳ 明朝" w:hAnsi="Century" w:hint="eastAsia"/>
          <w:sz w:val="21"/>
          <w:szCs w:val="21"/>
          <w:lang w:eastAsia="ja-JP"/>
        </w:rPr>
        <w:t>、</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障害者（</w:t>
      </w:r>
      <w:r w:rsidRPr="007B2761">
        <w:rPr>
          <w:rFonts w:ascii="Century" w:eastAsia="ＭＳ 明朝" w:hAnsi="Century"/>
          <w:sz w:val="21"/>
          <w:szCs w:val="21"/>
          <w:lang w:eastAsia="ja-JP"/>
        </w:rPr>
        <w:t>person with psychosocial disabilities</w:t>
      </w:r>
      <w:r w:rsidRPr="007B2761">
        <w:rPr>
          <w:rFonts w:ascii="Century" w:eastAsia="ＭＳ 明朝" w:hAnsi="Century"/>
          <w:sz w:val="21"/>
          <w:szCs w:val="21"/>
          <w:lang w:eastAsia="ja-JP"/>
        </w:rPr>
        <w:t>）の恣意的な施設収容を助長する主犯格となる。施設入所に関して、精神保健</w:t>
      </w:r>
      <w:r w:rsidR="00A26A97" w:rsidRPr="007B2761">
        <w:rPr>
          <w:rFonts w:ascii="Century" w:eastAsia="ＭＳ 明朝" w:hAnsi="Century" w:hint="eastAsia"/>
          <w:sz w:val="21"/>
          <w:szCs w:val="21"/>
          <w:lang w:eastAsia="ja-JP"/>
        </w:rPr>
        <w:t>サービスの</w:t>
      </w:r>
      <w:r w:rsidRPr="007B2761">
        <w:rPr>
          <w:rFonts w:ascii="Century" w:eastAsia="ＭＳ 明朝" w:hAnsi="Century"/>
          <w:sz w:val="21"/>
          <w:szCs w:val="21"/>
          <w:lang w:eastAsia="ja-JP"/>
        </w:rPr>
        <w:t>利用者に代わって決定する権限を家族に与えないことが必要である。</w:t>
      </w:r>
    </w:p>
    <w:p w14:paraId="34AD1836" w14:textId="6487EF40"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 xml:space="preserve">2) </w:t>
      </w:r>
      <w:r w:rsidRPr="007B2761">
        <w:rPr>
          <w:rFonts w:ascii="Century" w:eastAsia="ＭＳ 明朝" w:hAnsi="Century"/>
          <w:sz w:val="21"/>
          <w:szCs w:val="21"/>
          <w:lang w:eastAsia="ja-JP"/>
        </w:rPr>
        <w:t>国家は、</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障害者の公式・非公式な施設収容を廃止するだけでなく、犯罪とする必要がある。宗教指導者は、悪魔を追い出すという名目で施設収容を実践してきた責任を問われ</w:t>
      </w:r>
      <w:r w:rsidR="00A26A97" w:rsidRPr="007B2761">
        <w:rPr>
          <w:rFonts w:ascii="Century" w:eastAsia="ＭＳ 明朝" w:hAnsi="Century" w:hint="eastAsia"/>
          <w:sz w:val="21"/>
          <w:szCs w:val="21"/>
          <w:lang w:eastAsia="ja-JP"/>
        </w:rPr>
        <w:t>なければならない</w:t>
      </w:r>
      <w:r w:rsidRPr="007B2761">
        <w:rPr>
          <w:rFonts w:ascii="Century" w:eastAsia="ＭＳ 明朝" w:hAnsi="Century"/>
          <w:sz w:val="21"/>
          <w:szCs w:val="21"/>
          <w:lang w:eastAsia="ja-JP"/>
        </w:rPr>
        <w:t>。宗教指導者は、</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障害を祈りと施設収容が必要なものとして扱うことをやめる必要がある。</w:t>
      </w:r>
      <w:r w:rsidRPr="007B2761">
        <w:rPr>
          <w:rFonts w:ascii="Century" w:eastAsia="ＭＳ 明朝" w:hAnsi="Century"/>
          <w:sz w:val="21"/>
          <w:szCs w:val="21"/>
          <w:lang w:eastAsia="ja-JP"/>
        </w:rPr>
        <w:t xml:space="preserve"> </w:t>
      </w:r>
    </w:p>
    <w:p w14:paraId="1AC9AE91" w14:textId="25EF1F7B"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 xml:space="preserve">3) </w:t>
      </w:r>
      <w:r w:rsidRPr="007B2761">
        <w:rPr>
          <w:rFonts w:ascii="Century" w:eastAsia="ＭＳ 明朝" w:hAnsi="Century"/>
          <w:sz w:val="21"/>
          <w:szCs w:val="21"/>
          <w:lang w:eastAsia="ja-JP"/>
        </w:rPr>
        <w:t>国家は、</w:t>
      </w:r>
      <w:r w:rsidR="0080278A" w:rsidRPr="007B2761">
        <w:rPr>
          <w:rFonts w:ascii="Century" w:eastAsia="ＭＳ 明朝" w:hAnsi="Century" w:hint="eastAsia"/>
          <w:sz w:val="21"/>
          <w:szCs w:val="21"/>
          <w:lang w:eastAsia="ja-JP"/>
        </w:rPr>
        <w:t>障害のある人</w:t>
      </w:r>
      <w:r w:rsidRPr="007B2761">
        <w:rPr>
          <w:rFonts w:ascii="Century" w:eastAsia="ＭＳ 明朝" w:hAnsi="Century"/>
          <w:sz w:val="21"/>
          <w:szCs w:val="21"/>
          <w:lang w:eastAsia="ja-JP"/>
        </w:rPr>
        <w:t>と協議の上、危機的状況において</w:t>
      </w:r>
      <w:r w:rsidR="0080278A" w:rsidRPr="007B2761">
        <w:rPr>
          <w:rFonts w:ascii="Century" w:eastAsia="ＭＳ 明朝" w:hAnsi="Century" w:hint="eastAsia"/>
          <w:sz w:val="21"/>
          <w:szCs w:val="21"/>
          <w:lang w:eastAsia="ja-JP"/>
        </w:rPr>
        <w:t>障害のある人</w:t>
      </w:r>
      <w:r w:rsidRPr="007B2761">
        <w:rPr>
          <w:rFonts w:ascii="Century" w:eastAsia="ＭＳ 明朝" w:hAnsi="Century"/>
          <w:sz w:val="21"/>
          <w:szCs w:val="21"/>
          <w:lang w:eastAsia="ja-JP"/>
        </w:rPr>
        <w:t>にどのように対処するかについての枠組みを持つべきである。そのアプローチは決して恣意的であってはならない。</w:t>
      </w:r>
    </w:p>
    <w:p w14:paraId="572A8AA0" w14:textId="35665260"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 xml:space="preserve">4) </w:t>
      </w:r>
      <w:r w:rsidRPr="007B2761">
        <w:rPr>
          <w:rFonts w:ascii="Century" w:eastAsia="ＭＳ 明朝" w:hAnsi="Century"/>
          <w:sz w:val="21"/>
          <w:szCs w:val="21"/>
          <w:lang w:eastAsia="ja-JP"/>
        </w:rPr>
        <w:t>すべての宗教組織（</w:t>
      </w:r>
      <w:r w:rsidRPr="007B2761">
        <w:rPr>
          <w:rFonts w:ascii="Century" w:eastAsia="ＭＳ 明朝" w:hAnsi="Century"/>
          <w:sz w:val="21"/>
          <w:szCs w:val="21"/>
          <w:lang w:eastAsia="ja-JP"/>
        </w:rPr>
        <w:t>religious platform</w:t>
      </w:r>
      <w:r w:rsidRPr="007B2761">
        <w:rPr>
          <w:rFonts w:ascii="Century" w:eastAsia="ＭＳ 明朝" w:hAnsi="Century"/>
          <w:sz w:val="21"/>
          <w:szCs w:val="21"/>
          <w:lang w:eastAsia="ja-JP"/>
        </w:rPr>
        <w:t>）は、脱施設化の</w:t>
      </w:r>
      <w:r w:rsidR="0080278A" w:rsidRPr="007B2761">
        <w:rPr>
          <w:rFonts w:ascii="Century" w:eastAsia="ＭＳ 明朝" w:hAnsi="Century" w:hint="eastAsia"/>
          <w:sz w:val="21"/>
          <w:szCs w:val="21"/>
          <w:lang w:eastAsia="ja-JP"/>
        </w:rPr>
        <w:t>取組み</w:t>
      </w:r>
      <w:r w:rsidRPr="007B2761">
        <w:rPr>
          <w:rFonts w:ascii="Century" w:eastAsia="ＭＳ 明朝" w:hAnsi="Century"/>
          <w:sz w:val="21"/>
          <w:szCs w:val="21"/>
          <w:lang w:eastAsia="ja-JP"/>
        </w:rPr>
        <w:t>に含まれなければならない。</w:t>
      </w:r>
    </w:p>
    <w:p w14:paraId="3FC1F8A8" w14:textId="3F01715A"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 xml:space="preserve">5) </w:t>
      </w:r>
      <w:r w:rsidRPr="007B2761">
        <w:rPr>
          <w:rFonts w:ascii="Century" w:eastAsia="ＭＳ 明朝" w:hAnsi="Century"/>
          <w:sz w:val="21"/>
          <w:szCs w:val="21"/>
          <w:lang w:eastAsia="ja-JP"/>
        </w:rPr>
        <w:t>すべてのインフォーマルな施設、個々の宗教指導者は、精神保健</w:t>
      </w:r>
      <w:r w:rsidR="00D90405" w:rsidRPr="007B2761">
        <w:rPr>
          <w:rFonts w:ascii="Century" w:eastAsia="ＭＳ 明朝" w:hAnsi="Century" w:hint="eastAsia"/>
          <w:sz w:val="21"/>
          <w:szCs w:val="21"/>
          <w:lang w:eastAsia="ja-JP"/>
        </w:rPr>
        <w:t>サービス</w:t>
      </w:r>
      <w:r w:rsidRPr="007B2761">
        <w:rPr>
          <w:rFonts w:ascii="Century" w:eastAsia="ＭＳ 明朝" w:hAnsi="Century"/>
          <w:sz w:val="21"/>
          <w:szCs w:val="21"/>
          <w:lang w:eastAsia="ja-JP"/>
        </w:rPr>
        <w:t>利用者を含む</w:t>
      </w:r>
      <w:r w:rsidR="0080278A" w:rsidRPr="007B2761">
        <w:rPr>
          <w:rFonts w:ascii="Century" w:eastAsia="ＭＳ 明朝" w:hAnsi="Century" w:hint="eastAsia"/>
          <w:sz w:val="21"/>
          <w:szCs w:val="21"/>
          <w:lang w:eastAsia="ja-JP"/>
        </w:rPr>
        <w:t>障害のある人</w:t>
      </w:r>
      <w:r w:rsidRPr="007B2761">
        <w:rPr>
          <w:rFonts w:ascii="Century" w:eastAsia="ＭＳ 明朝" w:hAnsi="Century"/>
          <w:sz w:val="21"/>
          <w:szCs w:val="21"/>
          <w:lang w:eastAsia="ja-JP"/>
        </w:rPr>
        <w:t>の施設収容を実践することを禁止されるべきである。</w:t>
      </w:r>
    </w:p>
    <w:p w14:paraId="69E4100F" w14:textId="21DF463E"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 xml:space="preserve">6) </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障害のある人は、第</w:t>
      </w:r>
      <w:r w:rsidRPr="007B2761">
        <w:rPr>
          <w:rFonts w:ascii="Century" w:eastAsia="ＭＳ 明朝" w:hAnsi="Century"/>
          <w:sz w:val="21"/>
          <w:szCs w:val="21"/>
          <w:lang w:eastAsia="ja-JP"/>
        </w:rPr>
        <w:t>20</w:t>
      </w:r>
      <w:r w:rsidRPr="007B2761">
        <w:rPr>
          <w:rFonts w:ascii="Century" w:eastAsia="ＭＳ 明朝" w:hAnsi="Century"/>
          <w:sz w:val="21"/>
          <w:szCs w:val="21"/>
          <w:lang w:eastAsia="ja-JP"/>
        </w:rPr>
        <w:t>項「選択する権利、意志と選好の尊重」に明確に言及される必要がある。</w:t>
      </w:r>
    </w:p>
    <w:p w14:paraId="24272B28" w14:textId="4DF265E2"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 xml:space="preserve">7) </w:t>
      </w:r>
      <w:r w:rsidRPr="007B2761">
        <w:rPr>
          <w:rFonts w:ascii="Century" w:eastAsia="ＭＳ 明朝" w:hAnsi="Century"/>
          <w:sz w:val="21"/>
          <w:szCs w:val="21"/>
          <w:lang w:eastAsia="ja-JP"/>
        </w:rPr>
        <w:t>国家は資源の提供を義務付けられるべきである。資源の提供に関しては、憲法や政策が拘束力を持つべきである。多くの政府は、</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障害のある人を含む</w:t>
      </w:r>
      <w:r w:rsidR="0080278A" w:rsidRPr="007B2761">
        <w:rPr>
          <w:rFonts w:ascii="Century" w:eastAsia="ＭＳ 明朝" w:hAnsi="Century" w:hint="eastAsia"/>
          <w:sz w:val="21"/>
          <w:szCs w:val="21"/>
          <w:lang w:eastAsia="ja-JP"/>
        </w:rPr>
        <w:t>障害のある人</w:t>
      </w:r>
      <w:r w:rsidRPr="007B2761">
        <w:rPr>
          <w:rFonts w:ascii="Century" w:eastAsia="ＭＳ 明朝" w:hAnsi="Century"/>
          <w:sz w:val="21"/>
          <w:szCs w:val="21"/>
          <w:lang w:eastAsia="ja-JP"/>
        </w:rPr>
        <w:t>に関して</w:t>
      </w:r>
      <w:r w:rsidR="00B96E58" w:rsidRPr="007B2761">
        <w:rPr>
          <w:rFonts w:ascii="Century" w:eastAsia="ＭＳ 明朝" w:hAnsi="Century" w:hint="eastAsia"/>
          <w:sz w:val="21"/>
          <w:szCs w:val="21"/>
          <w:lang w:eastAsia="ja-JP"/>
        </w:rPr>
        <w:t>は</w:t>
      </w:r>
      <w:r w:rsidRPr="007B2761">
        <w:rPr>
          <w:rFonts w:ascii="Century" w:eastAsia="ＭＳ 明朝" w:hAnsi="Century"/>
          <w:sz w:val="21"/>
          <w:szCs w:val="21"/>
          <w:lang w:eastAsia="ja-JP"/>
        </w:rPr>
        <w:t>資源が不足していると主張している。</w:t>
      </w:r>
      <w:r w:rsidRPr="007B2761">
        <w:rPr>
          <w:rFonts w:ascii="Century" w:eastAsia="ＭＳ 明朝" w:hAnsi="Century"/>
          <w:sz w:val="21"/>
          <w:szCs w:val="21"/>
          <w:lang w:eastAsia="ja-JP"/>
        </w:rPr>
        <w:t xml:space="preserve"> </w:t>
      </w:r>
    </w:p>
    <w:p w14:paraId="1C24EFFC" w14:textId="1675917D"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 xml:space="preserve">8) </w:t>
      </w:r>
      <w:r w:rsidRPr="007B2761">
        <w:rPr>
          <w:rFonts w:ascii="Century" w:eastAsia="ＭＳ 明朝" w:hAnsi="Century"/>
          <w:sz w:val="21"/>
          <w:szCs w:val="21"/>
          <w:lang w:eastAsia="ja-JP"/>
        </w:rPr>
        <w:t>国家は、</w:t>
      </w:r>
      <w:r w:rsidR="0080278A" w:rsidRPr="007B2761">
        <w:rPr>
          <w:rFonts w:ascii="Century" w:eastAsia="ＭＳ 明朝" w:hAnsi="Century" w:hint="eastAsia"/>
          <w:sz w:val="21"/>
          <w:szCs w:val="21"/>
          <w:lang w:eastAsia="ja-JP"/>
        </w:rPr>
        <w:t>障害のある人</w:t>
      </w:r>
      <w:r w:rsidRPr="007B2761">
        <w:rPr>
          <w:rFonts w:ascii="Century" w:eastAsia="ＭＳ 明朝" w:hAnsi="Century"/>
          <w:sz w:val="21"/>
          <w:szCs w:val="21"/>
          <w:lang w:eastAsia="ja-JP"/>
        </w:rPr>
        <w:t>のための施設を取り壊すか、その用途を大幅に変更すべきである。</w:t>
      </w:r>
    </w:p>
    <w:p w14:paraId="29BBCBA1" w14:textId="65B2C67D"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lastRenderedPageBreak/>
        <w:t xml:space="preserve">9) </w:t>
      </w:r>
      <w:r w:rsidRPr="007B2761">
        <w:rPr>
          <w:rFonts w:ascii="Century" w:eastAsia="ＭＳ 明朝" w:hAnsi="Century"/>
          <w:sz w:val="21"/>
          <w:szCs w:val="21"/>
          <w:lang w:eastAsia="ja-JP"/>
        </w:rPr>
        <w:t>地域支援は、特にグローバル・サウスの農村部など、支援が届きにくい地域の人々を含むべきである。農村部に住む</w:t>
      </w:r>
      <w:r w:rsidR="0080278A" w:rsidRPr="007B2761">
        <w:rPr>
          <w:rFonts w:ascii="Century" w:eastAsia="ＭＳ 明朝" w:hAnsi="Century" w:hint="eastAsia"/>
          <w:sz w:val="21"/>
          <w:szCs w:val="21"/>
          <w:lang w:eastAsia="ja-JP"/>
        </w:rPr>
        <w:t>障害のある人</w:t>
      </w:r>
      <w:r w:rsidRPr="007B2761">
        <w:rPr>
          <w:rFonts w:ascii="Century" w:eastAsia="ＭＳ 明朝" w:hAnsi="Century"/>
          <w:sz w:val="21"/>
          <w:szCs w:val="21"/>
          <w:lang w:eastAsia="ja-JP"/>
        </w:rPr>
        <w:t>は、無視されたマイノリティの一つである。コミュニティ支援は、このグループにも届くようにする必要がある。</w:t>
      </w:r>
    </w:p>
    <w:p w14:paraId="4E32D405" w14:textId="1BE4B732"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10)</w:t>
      </w:r>
      <w:r w:rsidR="00D90405" w:rsidRPr="007B2761">
        <w:rPr>
          <w:rFonts w:ascii="Century" w:eastAsia="ＭＳ 明朝" w:hAnsi="Century"/>
          <w:sz w:val="21"/>
          <w:szCs w:val="21"/>
          <w:lang w:eastAsia="ja-JP"/>
        </w:rPr>
        <w:t xml:space="preserve"> </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障害のある人を含む精神医療施設の利用者にも、総合的な補償パッケージが与えられるべきである。</w:t>
      </w:r>
    </w:p>
    <w:p w14:paraId="0F4CA445" w14:textId="77777777"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 xml:space="preserve">11) </w:t>
      </w:r>
      <w:r w:rsidRPr="007B2761">
        <w:rPr>
          <w:rFonts w:ascii="Century" w:eastAsia="ＭＳ 明朝" w:hAnsi="Century"/>
          <w:sz w:val="21"/>
          <w:szCs w:val="21"/>
          <w:lang w:eastAsia="ja-JP"/>
        </w:rPr>
        <w:t>脱施設化には、家族に頼らず自分で生計を立てられるように、経済的・社会的なエンパワーメントを行うプロセスも含まれるべきである。</w:t>
      </w:r>
    </w:p>
    <w:p w14:paraId="556D6770" w14:textId="7CF977B9"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12)</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障害のある女性を含め、障害のある女性をエンパワーし、保護するための意図的なアプローチが必要である。</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障害のある女性は、障害のある女性のエンパワーメントに向けた取り組みが議論される際に、通常省かれている。</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障害のある女性の代表が必要である。</w:t>
      </w:r>
    </w:p>
    <w:p w14:paraId="0EA4E5E7" w14:textId="17C14CCB"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 xml:space="preserve">13) </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障害のある子どもの親が、子どもを施設に捨てる誘惑に駆られないように、カウンセリングや経済的支援という形で援助を与えるべきである。</w:t>
      </w:r>
    </w:p>
    <w:p w14:paraId="1C17091F" w14:textId="77777777"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 xml:space="preserve">14) </w:t>
      </w:r>
      <w:r w:rsidRPr="007B2761">
        <w:rPr>
          <w:rFonts w:ascii="Century" w:eastAsia="ＭＳ 明朝" w:hAnsi="Century"/>
          <w:sz w:val="21"/>
          <w:szCs w:val="21"/>
          <w:lang w:eastAsia="ja-JP"/>
        </w:rPr>
        <w:t>施設を出る人には、身分証明書などの書類が提供される必要がある。そうすることで、自立した生活を送りやすくなり、ローンや住宅などの他の制度にアクセスしやすくなる。</w:t>
      </w:r>
    </w:p>
    <w:p w14:paraId="4A8BE9F8" w14:textId="7649159E"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 xml:space="preserve">15) </w:t>
      </w:r>
      <w:r w:rsidRPr="007B2761">
        <w:rPr>
          <w:rFonts w:ascii="Century" w:eastAsia="ＭＳ 明朝" w:hAnsi="Century"/>
          <w:sz w:val="21"/>
          <w:szCs w:val="21"/>
          <w:lang w:eastAsia="ja-JP"/>
        </w:rPr>
        <w:t>銀行は、ローンを申し込む</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障害のある人を差別すべきではない。国家は、そのようなローンに保証を与えることができ</w:t>
      </w:r>
      <w:r w:rsidR="00D90405" w:rsidRPr="007B2761">
        <w:rPr>
          <w:rFonts w:ascii="Century" w:eastAsia="ＭＳ 明朝" w:hAnsi="Century" w:hint="eastAsia"/>
          <w:sz w:val="21"/>
          <w:szCs w:val="21"/>
          <w:lang w:eastAsia="ja-JP"/>
        </w:rPr>
        <w:t>なければならない</w:t>
      </w:r>
      <w:r w:rsidRPr="007B2761">
        <w:rPr>
          <w:rFonts w:ascii="Century" w:eastAsia="ＭＳ 明朝" w:hAnsi="Century"/>
          <w:sz w:val="21"/>
          <w:szCs w:val="21"/>
          <w:lang w:eastAsia="ja-JP"/>
        </w:rPr>
        <w:t>。</w:t>
      </w:r>
    </w:p>
    <w:p w14:paraId="13CC1D91" w14:textId="55F24A58"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16)</w:t>
      </w:r>
      <w:r w:rsidR="00757D2E">
        <w:rPr>
          <w:rFonts w:ascii="Century" w:eastAsia="ＭＳ 明朝" w:hAnsi="Century"/>
          <w:sz w:val="21"/>
          <w:szCs w:val="21"/>
          <w:lang w:eastAsia="ja-JP"/>
        </w:rPr>
        <w:t xml:space="preserve"> </w:t>
      </w:r>
      <w:r w:rsidRPr="007B2761">
        <w:rPr>
          <w:rFonts w:ascii="Century" w:eastAsia="ＭＳ 明朝" w:hAnsi="Century"/>
          <w:sz w:val="21"/>
          <w:szCs w:val="21"/>
          <w:lang w:eastAsia="ja-JP"/>
        </w:rPr>
        <w:t>施設、司法、法執行機関の運営に責任を持つ当局や職員は、</w:t>
      </w:r>
      <w:r w:rsidR="0080278A" w:rsidRPr="007B2761">
        <w:rPr>
          <w:rFonts w:ascii="Century" w:eastAsia="ＭＳ 明朝" w:hAnsi="Century" w:hint="eastAsia"/>
          <w:sz w:val="21"/>
          <w:szCs w:val="21"/>
          <w:lang w:eastAsia="ja-JP"/>
        </w:rPr>
        <w:t>障害のある人</w:t>
      </w:r>
      <w:r w:rsidRPr="007B2761">
        <w:rPr>
          <w:rFonts w:ascii="Century" w:eastAsia="ＭＳ 明朝" w:hAnsi="Century"/>
          <w:sz w:val="21"/>
          <w:szCs w:val="21"/>
          <w:lang w:eastAsia="ja-JP"/>
        </w:rPr>
        <w:t>の権利、特に</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障害のある人の権利に関する研修を受けるべきである。</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障害のある人は、特に性的虐待などの侵害に遭遇したときに、司法へのアクセスを持つべきである。裁判所と司法システム全体は、</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 xml:space="preserve">障害のある人が制度を利用する可能性があることに十分に注意し、サポートする必要がある。施設を出た後に権利侵害を報告する人も含めて。　</w:t>
      </w:r>
    </w:p>
    <w:p w14:paraId="74045449" w14:textId="77777777"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 xml:space="preserve">17) </w:t>
      </w:r>
      <w:r w:rsidRPr="007B2761">
        <w:rPr>
          <w:rFonts w:ascii="Century" w:eastAsia="ＭＳ 明朝" w:hAnsi="Century"/>
          <w:sz w:val="21"/>
          <w:szCs w:val="21"/>
          <w:lang w:eastAsia="ja-JP"/>
        </w:rPr>
        <w:t>過去の人権侵害を報告した人はどうなるのか？この文書はこの点を非常に明確にすべきである。この点をはっきりさせないと自立生活と地域社会への包摂の権利は実現せず、これは譲れない。</w:t>
      </w:r>
    </w:p>
    <w:p w14:paraId="7183A163" w14:textId="15BFB32A"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t xml:space="preserve">18) </w:t>
      </w:r>
      <w:r w:rsidRPr="007B2761">
        <w:rPr>
          <w:rFonts w:ascii="Century" w:eastAsia="ＭＳ 明朝" w:hAnsi="Century"/>
          <w:sz w:val="21"/>
          <w:szCs w:val="21"/>
          <w:lang w:eastAsia="ja-JP"/>
        </w:rPr>
        <w:t>すべての家族が、特に</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障害のある人にとって良い家族であるとは限らない。虐待や暴力の例すらある。しかし、締約国が</w:t>
      </w:r>
      <w:r w:rsidR="0080278A" w:rsidRPr="007B2761">
        <w:rPr>
          <w:rFonts w:ascii="Century" w:eastAsia="ＭＳ 明朝" w:hAnsi="Century" w:hint="eastAsia"/>
          <w:sz w:val="21"/>
          <w:szCs w:val="21"/>
          <w:lang w:eastAsia="ja-JP"/>
        </w:rPr>
        <w:t>障害のある人</w:t>
      </w:r>
      <w:r w:rsidRPr="007B2761">
        <w:rPr>
          <w:rFonts w:ascii="Century" w:eastAsia="ＭＳ 明朝" w:hAnsi="Century"/>
          <w:sz w:val="21"/>
          <w:szCs w:val="21"/>
          <w:lang w:eastAsia="ja-JP"/>
        </w:rPr>
        <w:t>に適切な支援を提供できない場合、自分たちの理解や手段に基づいて解決策を生み出すのは家族である。</w:t>
      </w:r>
    </w:p>
    <w:p w14:paraId="03894607" w14:textId="6A23BD25" w:rsidR="00FD7CDA" w:rsidRPr="007B2761" w:rsidRDefault="00FD7CDA" w:rsidP="00FD7CDA">
      <w:pPr>
        <w:spacing w:after="0"/>
        <w:rPr>
          <w:rFonts w:ascii="Century" w:eastAsia="ＭＳ 明朝" w:hAnsi="Century"/>
          <w:sz w:val="21"/>
          <w:szCs w:val="21"/>
          <w:lang w:eastAsia="ja-JP"/>
        </w:rPr>
      </w:pPr>
      <w:r w:rsidRPr="007B2761">
        <w:rPr>
          <w:rFonts w:ascii="Century" w:eastAsia="ＭＳ 明朝" w:hAnsi="Century"/>
          <w:sz w:val="21"/>
          <w:szCs w:val="21"/>
          <w:lang w:eastAsia="ja-JP"/>
        </w:rPr>
        <w:lastRenderedPageBreak/>
        <w:t xml:space="preserve">19) </w:t>
      </w:r>
      <w:r w:rsidRPr="007B2761">
        <w:rPr>
          <w:rFonts w:ascii="Century" w:eastAsia="ＭＳ 明朝" w:hAnsi="Century"/>
          <w:sz w:val="21"/>
          <w:szCs w:val="21"/>
          <w:lang w:eastAsia="ja-JP"/>
        </w:rPr>
        <w:t>草案作成に参加した</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障害者の数は不明なので、我々は、文書に意見を述べる十分な機会が</w:t>
      </w:r>
      <w:r w:rsidR="007B2761" w:rsidRPr="007B2761">
        <w:rPr>
          <w:rFonts w:ascii="Century" w:eastAsia="ＭＳ 明朝" w:hAnsi="Century"/>
          <w:sz w:val="21"/>
          <w:szCs w:val="21"/>
          <w:lang w:eastAsia="ja-JP"/>
        </w:rPr>
        <w:t>精神</w:t>
      </w:r>
      <w:r w:rsidRPr="007B2761">
        <w:rPr>
          <w:rFonts w:ascii="Century" w:eastAsia="ＭＳ 明朝" w:hAnsi="Century"/>
          <w:sz w:val="21"/>
          <w:szCs w:val="21"/>
          <w:lang w:eastAsia="ja-JP"/>
        </w:rPr>
        <w:t>障害者に与えられていなかった</w:t>
      </w:r>
      <w:r w:rsidR="001A2DAE" w:rsidRPr="007B2761">
        <w:rPr>
          <w:rFonts w:ascii="Century" w:eastAsia="ＭＳ 明朝" w:hAnsi="Century" w:hint="eastAsia"/>
          <w:sz w:val="21"/>
          <w:szCs w:val="21"/>
          <w:lang w:eastAsia="ja-JP"/>
        </w:rPr>
        <w:t>のではないか</w:t>
      </w:r>
      <w:r w:rsidRPr="007B2761">
        <w:rPr>
          <w:rFonts w:ascii="Century" w:eastAsia="ＭＳ 明朝" w:hAnsi="Century"/>
          <w:sz w:val="21"/>
          <w:szCs w:val="21"/>
          <w:lang w:eastAsia="ja-JP"/>
        </w:rPr>
        <w:t>と思う。</w:t>
      </w:r>
      <w:r w:rsidRPr="007B2761">
        <w:rPr>
          <w:rFonts w:ascii="Century" w:eastAsia="ＭＳ 明朝" w:hAnsi="Century"/>
          <w:sz w:val="21"/>
          <w:szCs w:val="21"/>
          <w:lang w:eastAsia="ja-JP"/>
        </w:rPr>
        <w:t xml:space="preserve"> </w:t>
      </w:r>
    </w:p>
    <w:p w14:paraId="54F533CB" w14:textId="77777777" w:rsidR="00FD7CDA" w:rsidRPr="007B2761" w:rsidRDefault="00FD7CDA" w:rsidP="00FD7CDA">
      <w:pPr>
        <w:spacing w:after="0"/>
        <w:rPr>
          <w:rFonts w:ascii="Century" w:eastAsia="ＭＳ 明朝" w:hAnsi="Century"/>
          <w:sz w:val="21"/>
          <w:szCs w:val="21"/>
          <w:lang w:eastAsia="ja-JP"/>
        </w:rPr>
      </w:pPr>
    </w:p>
    <w:p w14:paraId="61ED44FA" w14:textId="77777777" w:rsidR="00FD7CDA" w:rsidRPr="007B2761" w:rsidRDefault="00FD7CDA" w:rsidP="00FD7CDA">
      <w:pPr>
        <w:spacing w:after="0"/>
        <w:rPr>
          <w:rFonts w:ascii="Century" w:eastAsia="ＭＳ 明朝" w:hAnsi="Century"/>
          <w:b/>
          <w:bCs/>
          <w:sz w:val="21"/>
          <w:szCs w:val="21"/>
          <w:lang w:eastAsia="ja-JP"/>
        </w:rPr>
      </w:pPr>
      <w:r w:rsidRPr="007B2761">
        <w:rPr>
          <w:rFonts w:ascii="Century" w:eastAsia="ＭＳ 明朝" w:hAnsi="Century"/>
          <w:b/>
          <w:bCs/>
          <w:sz w:val="21"/>
          <w:szCs w:val="21"/>
          <w:lang w:eastAsia="ja-JP"/>
        </w:rPr>
        <w:t>今後の方向性</w:t>
      </w:r>
      <w:r w:rsidRPr="007B2761">
        <w:rPr>
          <w:rFonts w:ascii="Century" w:eastAsia="ＭＳ 明朝" w:hAnsi="Century"/>
          <w:b/>
          <w:bCs/>
          <w:sz w:val="21"/>
          <w:szCs w:val="21"/>
          <w:lang w:eastAsia="ja-JP"/>
        </w:rPr>
        <w:t xml:space="preserve"> </w:t>
      </w:r>
    </w:p>
    <w:p w14:paraId="667C27B9" w14:textId="54B78CFB" w:rsidR="00FD7CDA" w:rsidRPr="007B2761" w:rsidRDefault="00FD7CDA" w:rsidP="00FD7CDA">
      <w:pPr>
        <w:pStyle w:val="a4"/>
        <w:numPr>
          <w:ilvl w:val="0"/>
          <w:numId w:val="3"/>
        </w:numPr>
        <w:spacing w:after="0"/>
        <w:ind w:left="0"/>
        <w:rPr>
          <w:rFonts w:ascii="Century" w:eastAsia="ＭＳ 明朝" w:hAnsi="Century"/>
          <w:sz w:val="21"/>
          <w:szCs w:val="21"/>
          <w:lang w:eastAsia="ja-JP"/>
        </w:rPr>
      </w:pPr>
      <w:r w:rsidRPr="007B2761">
        <w:rPr>
          <w:rFonts w:ascii="Century" w:eastAsia="ＭＳ 明朝" w:hAnsi="Century"/>
          <w:sz w:val="21"/>
          <w:szCs w:val="21"/>
          <w:lang w:eastAsia="ja-JP"/>
        </w:rPr>
        <w:t>ガイドラインは、特にグローバル・サウスの国々にとって、</w:t>
      </w:r>
      <w:r w:rsidR="009640CD">
        <w:rPr>
          <w:rFonts w:ascii="Century" w:eastAsia="ＭＳ 明朝" w:hAnsi="Century" w:hint="eastAsia"/>
          <w:sz w:val="21"/>
          <w:szCs w:val="21"/>
          <w:lang w:eastAsia="ja-JP"/>
        </w:rPr>
        <w:t>この</w:t>
      </w:r>
      <w:r w:rsidRPr="007B2761">
        <w:rPr>
          <w:rFonts w:ascii="Century" w:eastAsia="ＭＳ 明朝" w:hAnsi="Century"/>
          <w:sz w:val="21"/>
          <w:szCs w:val="21"/>
          <w:lang w:eastAsia="ja-JP"/>
        </w:rPr>
        <w:t>旅</w:t>
      </w:r>
      <w:r w:rsidR="009640CD">
        <w:rPr>
          <w:rFonts w:ascii="Century" w:eastAsia="ＭＳ 明朝" w:hAnsi="Century" w:hint="eastAsia"/>
          <w:sz w:val="21"/>
          <w:szCs w:val="21"/>
          <w:lang w:eastAsia="ja-JP"/>
        </w:rPr>
        <w:t>（</w:t>
      </w:r>
      <w:r w:rsidR="009640CD" w:rsidRPr="009640CD">
        <w:rPr>
          <w:rFonts w:ascii="Century" w:eastAsia="ＭＳ 明朝" w:hAnsi="Century"/>
          <w:sz w:val="21"/>
          <w:szCs w:val="21"/>
          <w:lang w:eastAsia="ja-JP"/>
        </w:rPr>
        <w:t>journey</w:t>
      </w:r>
      <w:r w:rsidR="009640CD">
        <w:rPr>
          <w:rFonts w:ascii="Century" w:eastAsia="ＭＳ 明朝" w:hAnsi="Century" w:hint="eastAsia"/>
          <w:sz w:val="21"/>
          <w:szCs w:val="21"/>
          <w:lang w:eastAsia="ja-JP"/>
        </w:rPr>
        <w:t>）</w:t>
      </w:r>
      <w:r w:rsidRPr="007B2761">
        <w:rPr>
          <w:rFonts w:ascii="Century" w:eastAsia="ＭＳ 明朝" w:hAnsi="Century"/>
          <w:sz w:val="21"/>
          <w:szCs w:val="21"/>
          <w:lang w:eastAsia="ja-JP"/>
        </w:rPr>
        <w:t>を実現する実践的なステップを提供する必要がある。</w:t>
      </w:r>
    </w:p>
    <w:p w14:paraId="2853EC1C" w14:textId="77777777" w:rsidR="006B024F" w:rsidRDefault="00FD7CDA" w:rsidP="005925FB">
      <w:pPr>
        <w:pStyle w:val="a4"/>
        <w:numPr>
          <w:ilvl w:val="0"/>
          <w:numId w:val="3"/>
        </w:numPr>
        <w:pBdr>
          <w:bottom w:val="single" w:sz="6" w:space="1" w:color="auto"/>
        </w:pBdr>
        <w:spacing w:before="120" w:after="0" w:line="256" w:lineRule="auto"/>
        <w:ind w:left="0"/>
        <w:rPr>
          <w:rFonts w:ascii="Century" w:eastAsia="ＭＳ 明朝" w:hAnsi="Century"/>
          <w:sz w:val="21"/>
          <w:szCs w:val="21"/>
          <w:lang w:eastAsia="ja-JP"/>
        </w:rPr>
      </w:pPr>
      <w:r w:rsidRPr="006B024F">
        <w:rPr>
          <w:rFonts w:ascii="Century" w:eastAsia="ＭＳ 明朝" w:hAnsi="Century"/>
          <w:sz w:val="21"/>
          <w:szCs w:val="21"/>
          <w:lang w:eastAsia="ja-JP"/>
        </w:rPr>
        <w:t>ガイドラインは、特にグローバル・サウスの国が、ガイドラインをどう自国の政策などに反映させていくかを示す必要がある。</w:t>
      </w:r>
    </w:p>
    <w:p w14:paraId="111DD45D" w14:textId="223A0EBB" w:rsidR="00FD7CDA" w:rsidRPr="006B024F" w:rsidRDefault="00FD7CDA" w:rsidP="005925FB">
      <w:pPr>
        <w:pStyle w:val="a4"/>
        <w:numPr>
          <w:ilvl w:val="0"/>
          <w:numId w:val="3"/>
        </w:numPr>
        <w:pBdr>
          <w:bottom w:val="single" w:sz="6" w:space="1" w:color="auto"/>
        </w:pBdr>
        <w:spacing w:before="120" w:after="0" w:line="256" w:lineRule="auto"/>
        <w:ind w:left="0"/>
        <w:rPr>
          <w:rFonts w:ascii="Century" w:eastAsia="ＭＳ 明朝" w:hAnsi="Century"/>
          <w:sz w:val="21"/>
          <w:szCs w:val="21"/>
          <w:lang w:eastAsia="ja-JP"/>
        </w:rPr>
      </w:pPr>
      <w:r w:rsidRPr="006B024F">
        <w:rPr>
          <w:rFonts w:ascii="Century" w:eastAsia="ＭＳ 明朝" w:hAnsi="Century"/>
          <w:sz w:val="21"/>
          <w:szCs w:val="21"/>
          <w:lang w:eastAsia="ja-JP"/>
        </w:rPr>
        <w:t xml:space="preserve"> </w:t>
      </w:r>
      <w:r w:rsidRPr="006B024F">
        <w:rPr>
          <w:rFonts w:ascii="Century" w:eastAsia="ＭＳ 明朝" w:hAnsi="Century"/>
          <w:sz w:val="21"/>
          <w:szCs w:val="21"/>
          <w:lang w:eastAsia="ja-JP"/>
        </w:rPr>
        <w:t>ガイドラインは、この文書を使うべき人にとって理解しやすい方法で書かれる必要がある。</w:t>
      </w:r>
    </w:p>
    <w:p w14:paraId="00421A05" w14:textId="5E36E33C" w:rsidR="00F677EC" w:rsidRPr="007B2761" w:rsidRDefault="0086726A" w:rsidP="0086726A">
      <w:pPr>
        <w:jc w:val="right"/>
        <w:rPr>
          <w:rFonts w:ascii="Century" w:eastAsia="ＭＳ 明朝" w:hAnsi="Century"/>
          <w:sz w:val="21"/>
          <w:szCs w:val="21"/>
          <w:lang w:eastAsia="ja-JP"/>
        </w:rPr>
      </w:pPr>
      <w:r w:rsidRPr="007B2761">
        <w:rPr>
          <w:rFonts w:ascii="Century" w:eastAsia="ＭＳ 明朝" w:hAnsi="Century" w:hint="eastAsia"/>
          <w:sz w:val="21"/>
          <w:szCs w:val="21"/>
          <w:lang w:eastAsia="ja-JP"/>
        </w:rPr>
        <w:t>（翻訳：佐藤久夫、岡本明）</w:t>
      </w:r>
    </w:p>
    <w:sectPr w:rsidR="00F677EC" w:rsidRPr="007B2761">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9F6B" w14:textId="77777777" w:rsidR="00B123EE" w:rsidRDefault="00B123EE" w:rsidP="00FD7CDA">
      <w:pPr>
        <w:spacing w:after="0" w:line="240" w:lineRule="auto"/>
      </w:pPr>
      <w:r>
        <w:separator/>
      </w:r>
    </w:p>
  </w:endnote>
  <w:endnote w:type="continuationSeparator" w:id="0">
    <w:p w14:paraId="4F4F7BBE" w14:textId="77777777" w:rsidR="00B123EE" w:rsidRDefault="00B123EE" w:rsidP="00FD7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961817"/>
      <w:docPartObj>
        <w:docPartGallery w:val="Page Numbers (Bottom of Page)"/>
        <w:docPartUnique/>
      </w:docPartObj>
    </w:sdtPr>
    <w:sdtEndPr/>
    <w:sdtContent>
      <w:p w14:paraId="385379F7" w14:textId="5F501456" w:rsidR="00FD7CDA" w:rsidRDefault="00FD7CDA">
        <w:pPr>
          <w:pStyle w:val="a7"/>
          <w:jc w:val="center"/>
        </w:pPr>
        <w:r>
          <w:fldChar w:fldCharType="begin"/>
        </w:r>
        <w:r>
          <w:instrText>PAGE   \* MERGEFORMAT</w:instrText>
        </w:r>
        <w:r>
          <w:fldChar w:fldCharType="separate"/>
        </w:r>
        <w:r>
          <w:rPr>
            <w:lang w:val="ja-JP" w:eastAsia="ja-JP"/>
          </w:rPr>
          <w:t>2</w:t>
        </w:r>
        <w:r>
          <w:fldChar w:fldCharType="end"/>
        </w:r>
      </w:p>
    </w:sdtContent>
  </w:sdt>
  <w:p w14:paraId="6FF479B9" w14:textId="77777777" w:rsidR="00FD7CDA" w:rsidRDefault="00FD7C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5365" w14:textId="77777777" w:rsidR="00B123EE" w:rsidRDefault="00B123EE" w:rsidP="00FD7CDA">
      <w:pPr>
        <w:spacing w:after="0" w:line="240" w:lineRule="auto"/>
      </w:pPr>
      <w:r>
        <w:separator/>
      </w:r>
    </w:p>
  </w:footnote>
  <w:footnote w:type="continuationSeparator" w:id="0">
    <w:p w14:paraId="03413187" w14:textId="77777777" w:rsidR="00B123EE" w:rsidRDefault="00B123EE" w:rsidP="00FD7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77A6"/>
    <w:multiLevelType w:val="hybridMultilevel"/>
    <w:tmpl w:val="A0AC97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A717ACE"/>
    <w:multiLevelType w:val="hybridMultilevel"/>
    <w:tmpl w:val="0BA61F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D322469"/>
    <w:multiLevelType w:val="hybridMultilevel"/>
    <w:tmpl w:val="B540FCAE"/>
    <w:lvl w:ilvl="0" w:tplc="30090011">
      <w:start w:val="1"/>
      <w:numFmt w:val="decimal"/>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3" w15:restartNumberingAfterBreak="0">
    <w:nsid w:val="42B60F43"/>
    <w:multiLevelType w:val="hybridMultilevel"/>
    <w:tmpl w:val="74405434"/>
    <w:lvl w:ilvl="0" w:tplc="106A15DA">
      <w:start w:val="1"/>
      <w:numFmt w:val="decimal"/>
      <w:pStyle w:val="BodyText1"/>
      <w:lvlText w:val="%1."/>
      <w:lvlJc w:val="left"/>
      <w:pPr>
        <w:ind w:left="643" w:hanging="360"/>
      </w:pPr>
      <w:rPr>
        <w:rFonts w:asciiTheme="minorHAnsi" w:hAnsiTheme="minorHAnsi" w:cstheme="minorHAnsi" w:hint="default"/>
        <w:sz w:val="20"/>
        <w:szCs w:val="20"/>
      </w:rPr>
    </w:lvl>
    <w:lvl w:ilvl="1" w:tplc="9A3A3DEE">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59E06848">
      <w:start w:val="1"/>
      <w:numFmt w:val="upperLetter"/>
      <w:lvlText w:val="%6."/>
      <w:lvlJc w:val="left"/>
      <w:pPr>
        <w:ind w:left="4500" w:hanging="36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21338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10947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63573948">
    <w:abstractNumId w:val="1"/>
  </w:num>
  <w:num w:numId="4" w16cid:durableId="1545018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2N7awMDGzMDIxNzFT0lEKTi0uzszPAykwrAUAFdt0CywAAAA="/>
  </w:docVars>
  <w:rsids>
    <w:rsidRoot w:val="00FD7CDA"/>
    <w:rsid w:val="00192E8A"/>
    <w:rsid w:val="001A2DAE"/>
    <w:rsid w:val="00403F70"/>
    <w:rsid w:val="0040447C"/>
    <w:rsid w:val="00453FB7"/>
    <w:rsid w:val="00654A14"/>
    <w:rsid w:val="0068008B"/>
    <w:rsid w:val="006B024F"/>
    <w:rsid w:val="00757D2E"/>
    <w:rsid w:val="00791958"/>
    <w:rsid w:val="007B2761"/>
    <w:rsid w:val="007E025F"/>
    <w:rsid w:val="0080278A"/>
    <w:rsid w:val="0086726A"/>
    <w:rsid w:val="009640CD"/>
    <w:rsid w:val="00983D18"/>
    <w:rsid w:val="00A26A97"/>
    <w:rsid w:val="00A97695"/>
    <w:rsid w:val="00AE318C"/>
    <w:rsid w:val="00B123EE"/>
    <w:rsid w:val="00B1382D"/>
    <w:rsid w:val="00B96E58"/>
    <w:rsid w:val="00CD4E4D"/>
    <w:rsid w:val="00CF0727"/>
    <w:rsid w:val="00D55B46"/>
    <w:rsid w:val="00D71B70"/>
    <w:rsid w:val="00D90405"/>
    <w:rsid w:val="00DF4E3D"/>
    <w:rsid w:val="00DF7FEE"/>
    <w:rsid w:val="00E17494"/>
    <w:rsid w:val="00F677EC"/>
    <w:rsid w:val="00FD7C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EACC7"/>
  <w15:chartTrackingRefBased/>
  <w15:docId w15:val="{A6C23030-42E4-47F9-BA40-83FFE196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rebuchet MS"/>
        <w:bCs/>
        <w:kern w:val="2"/>
        <w:sz w:val="21"/>
        <w:szCs w:val="21"/>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7CDA"/>
    <w:pPr>
      <w:spacing w:after="200" w:line="276" w:lineRule="auto"/>
    </w:pPr>
    <w:rPr>
      <w:rFonts w:asciiTheme="minorHAnsi" w:eastAsiaTheme="minorEastAsia" w:hAnsiTheme="minorHAnsi" w:cstheme="minorBidi"/>
      <w:bCs w:val="0"/>
      <w:kern w:val="0"/>
      <w:sz w:val="22"/>
      <w:szCs w:val="22"/>
      <w:lang w:val="en-ZW" w:eastAsia="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7CDA"/>
    <w:rPr>
      <w:color w:val="0563C1" w:themeColor="hyperlink"/>
      <w:u w:val="single"/>
    </w:rPr>
  </w:style>
  <w:style w:type="paragraph" w:styleId="a4">
    <w:name w:val="List Paragraph"/>
    <w:basedOn w:val="a"/>
    <w:uiPriority w:val="34"/>
    <w:qFormat/>
    <w:rsid w:val="00FD7CDA"/>
    <w:pPr>
      <w:ind w:left="720"/>
      <w:contextualSpacing/>
    </w:pPr>
  </w:style>
  <w:style w:type="character" w:customStyle="1" w:styleId="BodytextChar">
    <w:name w:val="Body text Char"/>
    <w:basedOn w:val="a0"/>
    <w:link w:val="BodyText1"/>
    <w:locked/>
    <w:rsid w:val="00FD7CDA"/>
    <w:rPr>
      <w:kern w:val="0"/>
      <w:sz w:val="20"/>
      <w:szCs w:val="20"/>
      <w:lang w:val="en-GB" w:eastAsia="en-US"/>
    </w:rPr>
  </w:style>
  <w:style w:type="paragraph" w:customStyle="1" w:styleId="BodyText1">
    <w:name w:val="Body Text1"/>
    <w:basedOn w:val="a"/>
    <w:link w:val="BodytextChar"/>
    <w:qFormat/>
    <w:rsid w:val="00FD7CDA"/>
    <w:pPr>
      <w:numPr>
        <w:numId w:val="1"/>
      </w:numPr>
      <w:spacing w:after="160" w:line="256" w:lineRule="auto"/>
      <w:jc w:val="both"/>
    </w:pPr>
    <w:rPr>
      <w:rFonts w:ascii="Century" w:eastAsia="ＭＳ 明朝" w:hAnsi="Century" w:cs="Trebuchet MS"/>
      <w:bCs/>
      <w:sz w:val="20"/>
      <w:szCs w:val="20"/>
      <w:lang w:val="en-GB"/>
      <w14:ligatures w14:val="standardContextual"/>
    </w:rPr>
  </w:style>
  <w:style w:type="paragraph" w:styleId="a5">
    <w:name w:val="header"/>
    <w:basedOn w:val="a"/>
    <w:link w:val="a6"/>
    <w:uiPriority w:val="99"/>
    <w:unhideWhenUsed/>
    <w:rsid w:val="00FD7CDA"/>
    <w:pPr>
      <w:tabs>
        <w:tab w:val="center" w:pos="4252"/>
        <w:tab w:val="right" w:pos="8504"/>
      </w:tabs>
      <w:snapToGrid w:val="0"/>
    </w:pPr>
  </w:style>
  <w:style w:type="character" w:customStyle="1" w:styleId="a6">
    <w:name w:val="ヘッダー (文字)"/>
    <w:basedOn w:val="a0"/>
    <w:link w:val="a5"/>
    <w:uiPriority w:val="99"/>
    <w:rsid w:val="00FD7CDA"/>
    <w:rPr>
      <w:rFonts w:asciiTheme="minorHAnsi" w:eastAsiaTheme="minorEastAsia" w:hAnsiTheme="minorHAnsi" w:cstheme="minorBidi"/>
      <w:bCs w:val="0"/>
      <w:kern w:val="0"/>
      <w:sz w:val="22"/>
      <w:szCs w:val="22"/>
      <w:lang w:val="en-ZW" w:eastAsia="en-US"/>
      <w14:ligatures w14:val="none"/>
    </w:rPr>
  </w:style>
  <w:style w:type="paragraph" w:styleId="a7">
    <w:name w:val="footer"/>
    <w:basedOn w:val="a"/>
    <w:link w:val="a8"/>
    <w:uiPriority w:val="99"/>
    <w:unhideWhenUsed/>
    <w:rsid w:val="00FD7CDA"/>
    <w:pPr>
      <w:tabs>
        <w:tab w:val="center" w:pos="4252"/>
        <w:tab w:val="right" w:pos="8504"/>
      </w:tabs>
      <w:snapToGrid w:val="0"/>
    </w:pPr>
  </w:style>
  <w:style w:type="character" w:customStyle="1" w:styleId="a8">
    <w:name w:val="フッター (文字)"/>
    <w:basedOn w:val="a0"/>
    <w:link w:val="a7"/>
    <w:uiPriority w:val="99"/>
    <w:rsid w:val="00FD7CDA"/>
    <w:rPr>
      <w:rFonts w:asciiTheme="minorHAnsi" w:eastAsiaTheme="minorEastAsia" w:hAnsiTheme="minorHAnsi" w:cstheme="minorBidi"/>
      <w:bCs w:val="0"/>
      <w:kern w:val="0"/>
      <w:sz w:val="22"/>
      <w:szCs w:val="22"/>
      <w:lang w:val="en-ZW" w:eastAsia="en-US"/>
      <w14:ligatures w14:val="none"/>
    </w:rPr>
  </w:style>
  <w:style w:type="paragraph" w:customStyle="1" w:styleId="paragraph">
    <w:name w:val="paragraph"/>
    <w:basedOn w:val="a"/>
    <w:rsid w:val="00A97695"/>
    <w:pPr>
      <w:spacing w:before="100" w:beforeAutospacing="1" w:after="100" w:afterAutospacing="1" w:line="240" w:lineRule="auto"/>
    </w:pPr>
    <w:rPr>
      <w:rFonts w:ascii="ＭＳ Ｐゴシック" w:eastAsia="ＭＳ Ｐゴシック" w:hAnsi="ＭＳ Ｐゴシック" w:cs="ＭＳ Ｐゴシック"/>
      <w:sz w:val="24"/>
      <w:szCs w:val="24"/>
      <w:lang w:val="en-US" w:eastAsia="ja-JP"/>
    </w:rPr>
  </w:style>
  <w:style w:type="character" w:customStyle="1" w:styleId="normaltextrun">
    <w:name w:val="normaltextrun"/>
    <w:basedOn w:val="a0"/>
    <w:rsid w:val="00A97695"/>
  </w:style>
  <w:style w:type="character" w:customStyle="1" w:styleId="eop">
    <w:name w:val="eop"/>
    <w:basedOn w:val="a0"/>
    <w:rsid w:val="00A97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257132">
      <w:bodyDiv w:val="1"/>
      <w:marLeft w:val="0"/>
      <w:marRight w:val="0"/>
      <w:marTop w:val="0"/>
      <w:marBottom w:val="0"/>
      <w:divBdr>
        <w:top w:val="none" w:sz="0" w:space="0" w:color="auto"/>
        <w:left w:val="none" w:sz="0" w:space="0" w:color="auto"/>
        <w:bottom w:val="none" w:sz="0" w:space="0" w:color="auto"/>
        <w:right w:val="none" w:sz="0" w:space="0" w:color="auto"/>
      </w:divBdr>
    </w:div>
    <w:div w:id="1370762801">
      <w:bodyDiv w:val="1"/>
      <w:marLeft w:val="0"/>
      <w:marRight w:val="0"/>
      <w:marTop w:val="0"/>
      <w:marBottom w:val="0"/>
      <w:divBdr>
        <w:top w:val="none" w:sz="0" w:space="0" w:color="auto"/>
        <w:left w:val="none" w:sz="0" w:space="0" w:color="auto"/>
        <w:bottom w:val="none" w:sz="0" w:space="0" w:color="auto"/>
        <w:right w:val="none" w:sz="0" w:space="0" w:color="auto"/>
      </w:divBdr>
      <w:divsChild>
        <w:div w:id="755369389">
          <w:marLeft w:val="0"/>
          <w:marRight w:val="0"/>
          <w:marTop w:val="0"/>
          <w:marBottom w:val="0"/>
          <w:divBdr>
            <w:top w:val="none" w:sz="0" w:space="0" w:color="auto"/>
            <w:left w:val="none" w:sz="0" w:space="0" w:color="auto"/>
            <w:bottom w:val="none" w:sz="0" w:space="0" w:color="auto"/>
            <w:right w:val="none" w:sz="0" w:space="0" w:color="auto"/>
          </w:divBdr>
          <w:divsChild>
            <w:div w:id="1377660602">
              <w:marLeft w:val="0"/>
              <w:marRight w:val="0"/>
              <w:marTop w:val="0"/>
              <w:marBottom w:val="0"/>
              <w:divBdr>
                <w:top w:val="none" w:sz="0" w:space="0" w:color="auto"/>
                <w:left w:val="none" w:sz="0" w:space="0" w:color="auto"/>
                <w:bottom w:val="none" w:sz="0" w:space="0" w:color="auto"/>
                <w:right w:val="none" w:sz="0" w:space="0" w:color="auto"/>
              </w:divBdr>
            </w:div>
            <w:div w:id="21202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岡本明</dc:creator>
  <cp:keywords/>
  <dc:description/>
  <cp:lastModifiedBy>久夫 佐藤</cp:lastModifiedBy>
  <cp:revision>2</cp:revision>
  <dcterms:created xsi:type="dcterms:W3CDTF">2024-03-04T11:25:00Z</dcterms:created>
  <dcterms:modified xsi:type="dcterms:W3CDTF">2024-03-04T11:25:00Z</dcterms:modified>
</cp:coreProperties>
</file>